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1EC870" w14:textId="655C04A7" w:rsidR="00C769D8" w:rsidRDefault="00591C3F">
      <w:pPr>
        <w:pStyle w:val="Title"/>
      </w:pPr>
      <w:r>
        <w:t xml:space="preserve">Business Case Justification for </w:t>
      </w:r>
      <w:r w:rsidR="00EB637D">
        <w:t xml:space="preserve">Veeva </w:t>
      </w:r>
      <w:r>
        <w:t xml:space="preserve">SiteVault </w:t>
      </w:r>
    </w:p>
    <w:p w14:paraId="72FC5F34" w14:textId="77777777" w:rsidR="00C769D8" w:rsidRDefault="00C769D8">
      <w:pPr>
        <w:rPr>
          <w:sz w:val="36"/>
          <w:szCs w:val="36"/>
        </w:rPr>
      </w:pPr>
    </w:p>
    <w:p w14:paraId="56DD4B18" w14:textId="77777777" w:rsidR="00C769D8" w:rsidRDefault="00591C3F">
      <w:r>
        <w:t xml:space="preserve">Clinical research sites looking to improve visibility and operating efficiency are implementing eRegulatory systems to manage regulatory documentation and processes. Securing buy-in for change is challenging, but you can demonstrate a compelling reason to change by defining a business case. </w:t>
      </w:r>
    </w:p>
    <w:p w14:paraId="0296C5A5" w14:textId="77777777" w:rsidR="00C769D8" w:rsidRDefault="00C769D8"/>
    <w:p w14:paraId="6D28E9F6" w14:textId="3FDF8510" w:rsidR="00C769D8" w:rsidRDefault="00591C3F">
      <w:r>
        <w:t xml:space="preserve">This paper provides tips and sample language to help you make a business case for Veeva SiteVault, including: </w:t>
      </w:r>
    </w:p>
    <w:p w14:paraId="55A463DA" w14:textId="77777777" w:rsidR="00C769D8" w:rsidRDefault="00C769D8"/>
    <w:p w14:paraId="1E9778BD" w14:textId="77777777" w:rsidR="00C769D8" w:rsidRDefault="00591C3F">
      <w:pPr>
        <w:numPr>
          <w:ilvl w:val="0"/>
          <w:numId w:val="1"/>
        </w:numPr>
      </w:pPr>
      <w:r>
        <w:t>Detailing current challenges</w:t>
      </w:r>
    </w:p>
    <w:p w14:paraId="33FFBCA2" w14:textId="77777777" w:rsidR="00C769D8" w:rsidRDefault="00591C3F">
      <w:pPr>
        <w:numPr>
          <w:ilvl w:val="0"/>
          <w:numId w:val="1"/>
        </w:numPr>
      </w:pPr>
      <w:r>
        <w:t>Presenting a solution</w:t>
      </w:r>
    </w:p>
    <w:p w14:paraId="74F461C0" w14:textId="77777777" w:rsidR="00C769D8" w:rsidRDefault="00591C3F">
      <w:pPr>
        <w:numPr>
          <w:ilvl w:val="0"/>
          <w:numId w:val="1"/>
        </w:numPr>
      </w:pPr>
      <w:r>
        <w:t>Defining the business value</w:t>
      </w:r>
    </w:p>
    <w:p w14:paraId="5E56E6DA" w14:textId="77777777" w:rsidR="00C769D8" w:rsidRDefault="00591C3F">
      <w:pPr>
        <w:numPr>
          <w:ilvl w:val="0"/>
          <w:numId w:val="1"/>
        </w:numPr>
      </w:pPr>
      <w:r>
        <w:t>Making a financial justification</w:t>
      </w:r>
    </w:p>
    <w:p w14:paraId="46E32CCF" w14:textId="77777777" w:rsidR="00C769D8" w:rsidRDefault="00C769D8">
      <w:pPr>
        <w:rPr>
          <w:i/>
          <w:color w:val="999999"/>
        </w:rPr>
      </w:pPr>
    </w:p>
    <w:p w14:paraId="143AE575" w14:textId="77777777" w:rsidR="00C769D8" w:rsidRDefault="00591C3F">
      <w:pPr>
        <w:pStyle w:val="Heading1"/>
        <w:rPr>
          <w:i/>
          <w:color w:val="999999"/>
        </w:rPr>
      </w:pPr>
      <w:bookmarkStart w:id="0" w:name="_15v68vkwjjg6" w:colFirst="0" w:colLast="0"/>
      <w:bookmarkEnd w:id="0"/>
      <w:r>
        <w:t>Overview</w:t>
      </w:r>
    </w:p>
    <w:p w14:paraId="32816E54" w14:textId="77777777" w:rsidR="00C769D8" w:rsidRDefault="00C769D8">
      <w:pPr>
        <w:rPr>
          <w:i/>
          <w:color w:val="999999"/>
        </w:rPr>
      </w:pPr>
    </w:p>
    <w:p w14:paraId="2A726887" w14:textId="77777777" w:rsidR="00C769D8" w:rsidRDefault="00591C3F">
      <w:r>
        <w:rPr>
          <w:i/>
          <w:color w:val="999999"/>
        </w:rPr>
        <w:t>In this section, provide a high-level overview of the current challenges, business goals, and solution being presented.</w:t>
      </w:r>
      <w:r>
        <w:t xml:space="preserve">  </w:t>
      </w:r>
    </w:p>
    <w:p w14:paraId="0220DEFC" w14:textId="77777777" w:rsidR="00C769D8" w:rsidRDefault="00C769D8">
      <w:pPr>
        <w:rPr>
          <w:b/>
        </w:rPr>
      </w:pPr>
    </w:p>
    <w:p w14:paraId="42171827" w14:textId="77777777" w:rsidR="00C769D8" w:rsidRDefault="00591C3F">
      <w:r>
        <w:t>{</w:t>
      </w:r>
      <w:r>
        <w:rPr>
          <w:color w:val="999999"/>
        </w:rPr>
        <w:t>organization name</w:t>
      </w:r>
      <w:r>
        <w:t xml:space="preserve">} is facing increasing competition to win studies and higher levels of administrative burden than ever before. Adopting an electronic regulatory (eRegulatory) system provides an opportunity to save time, cut costs, and ultimately manage more studies. </w:t>
      </w:r>
    </w:p>
    <w:p w14:paraId="0B066943" w14:textId="77777777" w:rsidR="00C769D8" w:rsidRDefault="00C769D8"/>
    <w:p w14:paraId="1000F8B3" w14:textId="7D00882E" w:rsidR="00C769D8" w:rsidRDefault="00591C3F">
      <w:r>
        <w:t>This document outlines the business reasons for implementing Veeva SiteVault, a free eRegulatory system that will enable {</w:t>
      </w:r>
      <w:r>
        <w:rPr>
          <w:color w:val="999999"/>
        </w:rPr>
        <w:t>organization name</w:t>
      </w:r>
      <w:r>
        <w:t>} to complete regulatory tasks with greater speed</w:t>
      </w:r>
      <w:r w:rsidR="004B75E9">
        <w:t xml:space="preserve">, </w:t>
      </w:r>
      <w:r>
        <w:t xml:space="preserve">efficiency, and with higher quality. </w:t>
      </w:r>
    </w:p>
    <w:p w14:paraId="105197D6" w14:textId="77777777" w:rsidR="00C769D8" w:rsidRDefault="00C769D8"/>
    <w:p w14:paraId="253AB80C" w14:textId="77777777" w:rsidR="00C769D8" w:rsidRDefault="00591C3F">
      <w:pPr>
        <w:pStyle w:val="Heading1"/>
      </w:pPr>
      <w:bookmarkStart w:id="1" w:name="_wno6qwt7btc7" w:colFirst="0" w:colLast="0"/>
      <w:bookmarkEnd w:id="1"/>
      <w:r>
        <w:t>Current Challenges</w:t>
      </w:r>
    </w:p>
    <w:p w14:paraId="58B36CE4" w14:textId="77777777" w:rsidR="00C769D8" w:rsidRDefault="00C769D8">
      <w:pPr>
        <w:rPr>
          <w:i/>
          <w:color w:val="999999"/>
        </w:rPr>
      </w:pPr>
    </w:p>
    <w:p w14:paraId="76653A12" w14:textId="77777777" w:rsidR="00C769D8" w:rsidRDefault="00591C3F">
      <w:pPr>
        <w:rPr>
          <w:i/>
          <w:color w:val="999999"/>
        </w:rPr>
      </w:pPr>
      <w:r>
        <w:rPr>
          <w:i/>
          <w:color w:val="999999"/>
        </w:rPr>
        <w:t xml:space="preserve">In this section, detail the challenges and risks you’re trying to solve. Below is a list of the most common challenges for regulatory teams. When creating your business case, select the issues relevant to your organization and add examples that will resonate internally. The challenges section can be </w:t>
      </w:r>
      <w:r w:rsidR="004B75E9">
        <w:rPr>
          <w:i/>
          <w:color w:val="999999"/>
        </w:rPr>
        <w:t>a</w:t>
      </w:r>
      <w:r>
        <w:rPr>
          <w:i/>
          <w:color w:val="999999"/>
        </w:rPr>
        <w:t xml:space="preserve"> simple bulleted list or a thorough documentation of the challenges and their impact. </w:t>
      </w:r>
    </w:p>
    <w:p w14:paraId="2471BD2D" w14:textId="77777777" w:rsidR="00C769D8" w:rsidRDefault="00C769D8">
      <w:pPr>
        <w:rPr>
          <w:i/>
          <w:color w:val="999999"/>
        </w:rPr>
      </w:pPr>
    </w:p>
    <w:p w14:paraId="3A732BE8" w14:textId="77777777" w:rsidR="00C769D8" w:rsidRDefault="00591C3F">
      <w:r>
        <w:t>As {</w:t>
      </w:r>
      <w:r>
        <w:rPr>
          <w:color w:val="999999"/>
        </w:rPr>
        <w:t>organization name</w:t>
      </w:r>
      <w:r>
        <w:t xml:space="preserve">} continues to support new studies, add new team members, and expand in more locations, the administration of regulatory tasks has become more difficult. Our current method of managing regulatory documents and processes is inefficient and limits our ability to support additional studies. </w:t>
      </w:r>
    </w:p>
    <w:p w14:paraId="6F6844D6" w14:textId="77777777" w:rsidR="00C769D8" w:rsidRDefault="00C769D8"/>
    <w:p w14:paraId="0E25B29E" w14:textId="77777777" w:rsidR="00C769D8" w:rsidRDefault="00591C3F">
      <w:r>
        <w:t xml:space="preserve">Managing regulatory documentation across multiple systems (e.g. binders, local file shares, flash drives, email, portals) and in different file formats and versions (e.g. paper, PDF, draft version, track-changes versions, final versions) creates several key business challenges, including: </w:t>
      </w:r>
    </w:p>
    <w:p w14:paraId="57420807" w14:textId="77777777" w:rsidR="00C769D8" w:rsidRDefault="00C769D8"/>
    <w:p w14:paraId="1B3AC9F7" w14:textId="77777777" w:rsidR="00C769D8" w:rsidRDefault="00591C3F">
      <w:pPr>
        <w:numPr>
          <w:ilvl w:val="0"/>
          <w:numId w:val="8"/>
        </w:numPr>
      </w:pPr>
      <w:r>
        <w:rPr>
          <w:b/>
        </w:rPr>
        <w:t>Difficulty finding information</w:t>
      </w:r>
      <w:r>
        <w:t xml:space="preserve">. Decentralized storage of regulatory documents reduces efficiency and increases the likelihood of accessing the incorrect version of a document (e.g. protocol or ICF) or using </w:t>
      </w:r>
      <w:r>
        <w:lastRenderedPageBreak/>
        <w:t xml:space="preserve">outdated information. Maintaining consistent records and naming conventions is difficult and requires additional training and oversight. </w:t>
      </w:r>
    </w:p>
    <w:p w14:paraId="3962BEE8" w14:textId="77777777" w:rsidR="00C769D8" w:rsidRDefault="00591C3F" w:rsidP="004B75E9">
      <w:pPr>
        <w:numPr>
          <w:ilvl w:val="0"/>
          <w:numId w:val="8"/>
        </w:numPr>
      </w:pPr>
      <w:r>
        <w:rPr>
          <w:b/>
        </w:rPr>
        <w:t>Manual tracking and poor visibility</w:t>
      </w:r>
      <w:r>
        <w:t xml:space="preserve">. </w:t>
      </w:r>
      <w:r w:rsidR="004B75E9" w:rsidRPr="004B75E9">
        <w:t>Storing information in multiple systems results in duplicative tasks and workarounds. The information must be entered redundantly and manually tracked, increasing the likelihood of entry errors and reducing productivity.</w:t>
      </w:r>
      <w:r w:rsidR="004B75E9">
        <w:t xml:space="preserve"> </w:t>
      </w:r>
      <w:r>
        <w:t xml:space="preserve">Spreadsheets and reports are </w:t>
      </w:r>
      <w:r w:rsidR="004B75E9">
        <w:t>difficult</w:t>
      </w:r>
      <w:r>
        <w:t xml:space="preserve"> to maintain, require manual effort to reconcile, and provide no real-time insight into documents out for signature, upcoming expirations, or turnaround times. </w:t>
      </w:r>
    </w:p>
    <w:p w14:paraId="1C428A46" w14:textId="5EDE71B2" w:rsidR="00C769D8" w:rsidRDefault="00591C3F">
      <w:pPr>
        <w:numPr>
          <w:ilvl w:val="0"/>
          <w:numId w:val="8"/>
        </w:numPr>
      </w:pPr>
      <w:r>
        <w:rPr>
          <w:b/>
        </w:rPr>
        <w:t>Inefficient study execution</w:t>
      </w:r>
      <w:r>
        <w:t xml:space="preserve">. Collecting signatures and managing staff credentials is time-consuming and cumbersome. Documents sent for signature are often emailed, printed, signed, scanned, emailed back, then printed again and saved locally. Updating </w:t>
      </w:r>
      <w:r w:rsidR="00EB637D">
        <w:t xml:space="preserve">the delegation log or </w:t>
      </w:r>
      <w:r>
        <w:t xml:space="preserve">a single CV across all active studies requires multiple versions of a CV to be printed and manually filed into each study binder. Furthermore, each version must be manually archived and tracked. </w:t>
      </w:r>
    </w:p>
    <w:p w14:paraId="16BCB2C0" w14:textId="1431E55B" w:rsidR="00621056" w:rsidRDefault="00621056">
      <w:pPr>
        <w:numPr>
          <w:ilvl w:val="0"/>
          <w:numId w:val="8"/>
        </w:numPr>
      </w:pPr>
      <w:r>
        <w:rPr>
          <w:b/>
        </w:rPr>
        <w:t>Too many systems and passwords to manage across sponsors</w:t>
      </w:r>
      <w:r w:rsidRPr="00621056">
        <w:t>:</w:t>
      </w:r>
      <w:r>
        <w:t xml:space="preserve"> Using multiple systems to collect and exchange information across sponsors and CROs results in increased </w:t>
      </w:r>
      <w:r w:rsidRPr="00621056">
        <w:t>training</w:t>
      </w:r>
      <w:r>
        <w:t xml:space="preserve"> requirements</w:t>
      </w:r>
      <w:r w:rsidRPr="00621056">
        <w:t xml:space="preserve">, logins, and passwords </w:t>
      </w:r>
      <w:r>
        <w:t xml:space="preserve">to manage. </w:t>
      </w:r>
    </w:p>
    <w:p w14:paraId="3FBF578D" w14:textId="77777777" w:rsidR="00C769D8" w:rsidRDefault="00C769D8"/>
    <w:p w14:paraId="2A8E97F0" w14:textId="77777777" w:rsidR="00C769D8" w:rsidRDefault="00591C3F">
      <w:pPr>
        <w:pStyle w:val="Heading1"/>
      </w:pPr>
      <w:bookmarkStart w:id="2" w:name="_9tluin72up5c" w:colFirst="0" w:colLast="0"/>
      <w:bookmarkEnd w:id="2"/>
      <w:r>
        <w:t>Solution Overview</w:t>
      </w:r>
    </w:p>
    <w:p w14:paraId="3B679240" w14:textId="77777777" w:rsidR="00C769D8" w:rsidRDefault="00C769D8">
      <w:pPr>
        <w:rPr>
          <w:i/>
          <w:color w:val="999999"/>
        </w:rPr>
      </w:pPr>
    </w:p>
    <w:p w14:paraId="0F6286B5" w14:textId="187556F5" w:rsidR="00C769D8" w:rsidRDefault="00591C3F">
      <w:pPr>
        <w:rPr>
          <w:i/>
          <w:color w:val="999999"/>
        </w:rPr>
      </w:pPr>
      <w:r>
        <w:rPr>
          <w:i/>
          <w:color w:val="999999"/>
        </w:rPr>
        <w:t xml:space="preserve">Use this section to provide a high-level overview of SiteVault and highlight how it is different from alternative solutions. Be sure to call out the elements of the product or vendor that will resonate most with management. </w:t>
      </w:r>
    </w:p>
    <w:p w14:paraId="51D67EFB" w14:textId="77777777" w:rsidR="00C769D8" w:rsidRDefault="00C769D8">
      <w:pPr>
        <w:rPr>
          <w:i/>
          <w:color w:val="999999"/>
        </w:rPr>
      </w:pPr>
    </w:p>
    <w:p w14:paraId="2CD249FD" w14:textId="77777777" w:rsidR="00C769D8" w:rsidRDefault="00591C3F">
      <w:r>
        <w:t>Moving to a centralized, web-based eRegulatory platform will enable {</w:t>
      </w:r>
      <w:r>
        <w:rPr>
          <w:color w:val="999999"/>
        </w:rPr>
        <w:t>organization name</w:t>
      </w:r>
      <w:r>
        <w:t xml:space="preserve">} to improve staff efficiency, speed study activation, and increase visibility and compliance. </w:t>
      </w:r>
    </w:p>
    <w:p w14:paraId="1A6D2A7B" w14:textId="77777777" w:rsidR="00C769D8" w:rsidRDefault="00C769D8"/>
    <w:p w14:paraId="690373AB" w14:textId="6E5829D3" w:rsidR="00C769D8" w:rsidRDefault="00591C3F">
      <w:r>
        <w:t xml:space="preserve">After reviewing multiple solutions and vendors, we have determined that Veeva SiteVault will best meet these business objectives for the following reasons: </w:t>
      </w:r>
    </w:p>
    <w:p w14:paraId="44794FCC" w14:textId="77777777" w:rsidR="00C769D8" w:rsidRDefault="00C769D8"/>
    <w:p w14:paraId="7CF7156E" w14:textId="5C5B5DB4" w:rsidR="00C769D8" w:rsidRDefault="00591C3F">
      <w:pPr>
        <w:numPr>
          <w:ilvl w:val="0"/>
          <w:numId w:val="3"/>
        </w:numPr>
      </w:pPr>
      <w:r>
        <w:rPr>
          <w:b/>
        </w:rPr>
        <w:t>System features</w:t>
      </w:r>
      <w:r>
        <w:t xml:space="preserve">: SiteVault is a web-based platform and includes </w:t>
      </w:r>
      <w:proofErr w:type="gramStart"/>
      <w:r>
        <w:t>all of</w:t>
      </w:r>
      <w:proofErr w:type="gramEnd"/>
      <w:r>
        <w:t xml:space="preserve"> the standard features of a standard eRegulatory system including eSignatures, dashboards and reports, remote monitoring, </w:t>
      </w:r>
      <w:r w:rsidR="00EB637D">
        <w:t xml:space="preserve">digital delegation, version control, </w:t>
      </w:r>
      <w:r>
        <w:t xml:space="preserve">and automated naming and filing. </w:t>
      </w:r>
      <w:r w:rsidR="004A3750">
        <w:t xml:space="preserve">SiteVault also includes Study Connect, a place to securely access and exchange trial information with sponsors and CROs using Veeva Clinical applications. Setup is easy and documents received via Study Connect are automatically filed to SiteVault eRegulatory. </w:t>
      </w:r>
    </w:p>
    <w:p w14:paraId="2DFE1260" w14:textId="1B1EF13B" w:rsidR="00C769D8" w:rsidRDefault="00591C3F">
      <w:pPr>
        <w:numPr>
          <w:ilvl w:val="0"/>
          <w:numId w:val="3"/>
        </w:numPr>
      </w:pPr>
      <w:r>
        <w:rPr>
          <w:b/>
        </w:rPr>
        <w:t>Cost</w:t>
      </w:r>
      <w:r>
        <w:t xml:space="preserve">: SiteVault is free and is fully supported by Veeva. There is no restriction on the number of users, documents or studies that can be managed in the system. </w:t>
      </w:r>
      <w:r w:rsidR="00EB637D">
        <w:t xml:space="preserve">Additional add-ons can be purchased, such as eConsent or enterprise Single-Sign-on, and API support for integrations.  </w:t>
      </w:r>
    </w:p>
    <w:p w14:paraId="0713B8A2" w14:textId="39D0AE5D" w:rsidR="00C769D8" w:rsidRDefault="00591C3F">
      <w:pPr>
        <w:numPr>
          <w:ilvl w:val="0"/>
          <w:numId w:val="3"/>
        </w:numPr>
      </w:pPr>
      <w:r>
        <w:rPr>
          <w:b/>
        </w:rPr>
        <w:t>Compliance</w:t>
      </w:r>
      <w:r>
        <w:t xml:space="preserve">: SiteVault supports compliance with 21 CFR Part 11 and HIPAA requirements. Validation and documentation for 21 CFR Part 11 is </w:t>
      </w:r>
      <w:proofErr w:type="gramStart"/>
      <w:r>
        <w:t>fully-supported</w:t>
      </w:r>
      <w:proofErr w:type="gramEnd"/>
      <w:r>
        <w:t xml:space="preserve"> by Veeva. </w:t>
      </w:r>
    </w:p>
    <w:p w14:paraId="15BE0074" w14:textId="4D95C6AF" w:rsidR="004A3750" w:rsidRDefault="004A3750">
      <w:pPr>
        <w:numPr>
          <w:ilvl w:val="0"/>
          <w:numId w:val="3"/>
        </w:numPr>
      </w:pPr>
      <w:r>
        <w:rPr>
          <w:b/>
        </w:rPr>
        <w:t>Support</w:t>
      </w:r>
      <w:r w:rsidRPr="004A3750">
        <w:t>:</w:t>
      </w:r>
      <w:r>
        <w:t xml:space="preserve"> </w:t>
      </w:r>
      <w:r>
        <w:t>System support (phone and email) is provided from Veeva at no cost.</w:t>
      </w:r>
      <w:r>
        <w:t xml:space="preserve"> The </w:t>
      </w:r>
      <w:hyperlink r:id="rId7" w:history="1">
        <w:r w:rsidRPr="004A3750">
          <w:rPr>
            <w:rStyle w:val="Hyperlink"/>
          </w:rPr>
          <w:t>SiteVault Help Center</w:t>
        </w:r>
      </w:hyperlink>
      <w:r>
        <w:t xml:space="preserve"> includes tutorials and self-service resources including videos, SOP templates, and live and on-demand training. In addition, their Site Success team can assist with change management and regularly lead customer workshops and community events. </w:t>
      </w:r>
    </w:p>
    <w:p w14:paraId="1A9EC478" w14:textId="725BF00F" w:rsidR="00C769D8" w:rsidRDefault="00591C3F">
      <w:pPr>
        <w:numPr>
          <w:ilvl w:val="0"/>
          <w:numId w:val="3"/>
        </w:numPr>
      </w:pPr>
      <w:r>
        <w:rPr>
          <w:b/>
        </w:rPr>
        <w:t>Company and reputation</w:t>
      </w:r>
      <w:r>
        <w:t xml:space="preserve">: Veeva </w:t>
      </w:r>
      <w:proofErr w:type="gramStart"/>
      <w:r>
        <w:t>is</w:t>
      </w:r>
      <w:proofErr w:type="gramEnd"/>
      <w:r>
        <w:t xml:space="preserve"> a public company with over </w:t>
      </w:r>
      <w:r w:rsidR="004A3750">
        <w:t>5,000</w:t>
      </w:r>
      <w:r>
        <w:t xml:space="preserve"> employees and</w:t>
      </w:r>
      <w:r w:rsidR="004B75E9">
        <w:t xml:space="preserve"> serves more than</w:t>
      </w:r>
      <w:r>
        <w:t xml:space="preserve"> </w:t>
      </w:r>
      <w:r w:rsidR="00EB637D">
        <w:t>4000 sites and 1000</w:t>
      </w:r>
      <w:r>
        <w:t xml:space="preserve"> </w:t>
      </w:r>
      <w:r w:rsidR="00EB637D">
        <w:t>life sciences companies</w:t>
      </w:r>
      <w:r>
        <w:t>, including 49 of the top 50 largest global pharmaceutical companies. Veeva specializes in building software for the clinical research industry and is well-known among sponsors and CROs we work with.</w:t>
      </w:r>
    </w:p>
    <w:p w14:paraId="58AF01BA" w14:textId="68F41A2F" w:rsidR="00C769D8" w:rsidRDefault="00591C3F">
      <w:pPr>
        <w:spacing w:before="240" w:after="240"/>
        <w:rPr>
          <w:b/>
        </w:rPr>
      </w:pPr>
      <w:r>
        <w:rPr>
          <w:b/>
        </w:rPr>
        <w:lastRenderedPageBreak/>
        <w:t>Alternative Analysis (Optional)</w:t>
      </w:r>
    </w:p>
    <w:p w14:paraId="4CE22E03" w14:textId="77777777" w:rsidR="00C769D8" w:rsidRDefault="00591C3F">
      <w:pPr>
        <w:spacing w:before="240" w:after="240"/>
      </w:pPr>
      <w:r>
        <w:rPr>
          <w:i/>
          <w:color w:val="999999"/>
        </w:rPr>
        <w:t>If desired, include a brief summary of considered alternatives - one of which should be the status quo, or doing nothing. The reasons for not selecting the alternatives should also be included.</w:t>
      </w:r>
    </w:p>
    <w:p w14:paraId="1C0C0315" w14:textId="77777777" w:rsidR="00C769D8" w:rsidRDefault="00591C3F">
      <w:pPr>
        <w:spacing w:before="240" w:after="240"/>
      </w:pPr>
      <w:r>
        <w:t xml:space="preserve">The following alternative options have been considered to address the business problem, but were not selected for the following reasons: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7170"/>
      </w:tblGrid>
      <w:tr w:rsidR="00C769D8" w14:paraId="5D75DAA7" w14:textId="77777777">
        <w:tc>
          <w:tcPr>
            <w:tcW w:w="3630" w:type="dxa"/>
            <w:shd w:val="clear" w:color="auto" w:fill="EFEFEF"/>
            <w:tcMar>
              <w:top w:w="100" w:type="dxa"/>
              <w:left w:w="100" w:type="dxa"/>
              <w:bottom w:w="100" w:type="dxa"/>
              <w:right w:w="100" w:type="dxa"/>
            </w:tcMar>
          </w:tcPr>
          <w:p w14:paraId="13DEF5E1" w14:textId="77777777" w:rsidR="00C769D8" w:rsidRDefault="00591C3F">
            <w:pPr>
              <w:widowControl w:val="0"/>
              <w:pBdr>
                <w:top w:val="nil"/>
                <w:left w:val="nil"/>
                <w:bottom w:val="nil"/>
                <w:right w:val="nil"/>
                <w:between w:val="nil"/>
              </w:pBdr>
              <w:spacing w:line="240" w:lineRule="auto"/>
              <w:rPr>
                <w:b/>
                <w:sz w:val="20"/>
                <w:szCs w:val="20"/>
              </w:rPr>
            </w:pPr>
            <w:r>
              <w:rPr>
                <w:b/>
                <w:sz w:val="20"/>
                <w:szCs w:val="20"/>
              </w:rPr>
              <w:t>Alternative option</w:t>
            </w:r>
          </w:p>
        </w:tc>
        <w:tc>
          <w:tcPr>
            <w:tcW w:w="7170" w:type="dxa"/>
            <w:shd w:val="clear" w:color="auto" w:fill="EFEFEF"/>
            <w:tcMar>
              <w:top w:w="100" w:type="dxa"/>
              <w:left w:w="100" w:type="dxa"/>
              <w:bottom w:w="100" w:type="dxa"/>
              <w:right w:w="100" w:type="dxa"/>
            </w:tcMar>
          </w:tcPr>
          <w:p w14:paraId="6B8B6385" w14:textId="77777777" w:rsidR="00C769D8" w:rsidRDefault="00591C3F">
            <w:pPr>
              <w:widowControl w:val="0"/>
              <w:pBdr>
                <w:top w:val="nil"/>
                <w:left w:val="nil"/>
                <w:bottom w:val="nil"/>
                <w:right w:val="nil"/>
                <w:between w:val="nil"/>
              </w:pBdr>
              <w:spacing w:line="240" w:lineRule="auto"/>
              <w:rPr>
                <w:b/>
                <w:sz w:val="20"/>
                <w:szCs w:val="20"/>
              </w:rPr>
            </w:pPr>
            <w:r>
              <w:rPr>
                <w:b/>
                <w:sz w:val="20"/>
                <w:szCs w:val="20"/>
              </w:rPr>
              <w:t xml:space="preserve">Reason for not selecting alternative </w:t>
            </w:r>
          </w:p>
        </w:tc>
      </w:tr>
      <w:tr w:rsidR="00C769D8" w14:paraId="48CAE670" w14:textId="77777777">
        <w:tc>
          <w:tcPr>
            <w:tcW w:w="3630" w:type="dxa"/>
            <w:shd w:val="clear" w:color="auto" w:fill="auto"/>
            <w:tcMar>
              <w:top w:w="100" w:type="dxa"/>
              <w:left w:w="100" w:type="dxa"/>
              <w:bottom w:w="100" w:type="dxa"/>
              <w:right w:w="100" w:type="dxa"/>
            </w:tcMar>
          </w:tcPr>
          <w:p w14:paraId="0D5223E5" w14:textId="77777777" w:rsidR="00C769D8" w:rsidRDefault="00591C3F">
            <w:pPr>
              <w:widowControl w:val="0"/>
              <w:pBdr>
                <w:top w:val="nil"/>
                <w:left w:val="nil"/>
                <w:bottom w:val="nil"/>
                <w:right w:val="nil"/>
                <w:between w:val="nil"/>
              </w:pBdr>
              <w:spacing w:line="240" w:lineRule="auto"/>
              <w:rPr>
                <w:sz w:val="20"/>
                <w:szCs w:val="20"/>
              </w:rPr>
            </w:pPr>
            <w:r>
              <w:rPr>
                <w:sz w:val="20"/>
                <w:szCs w:val="20"/>
              </w:rPr>
              <w:t>Keep the current system in place</w:t>
            </w:r>
          </w:p>
        </w:tc>
        <w:tc>
          <w:tcPr>
            <w:tcW w:w="7170" w:type="dxa"/>
            <w:shd w:val="clear" w:color="auto" w:fill="auto"/>
            <w:tcMar>
              <w:top w:w="100" w:type="dxa"/>
              <w:left w:w="100" w:type="dxa"/>
              <w:bottom w:w="100" w:type="dxa"/>
              <w:right w:w="100" w:type="dxa"/>
            </w:tcMar>
          </w:tcPr>
          <w:p w14:paraId="2337B8E6" w14:textId="77777777" w:rsidR="00C769D8" w:rsidRDefault="00591C3F">
            <w:pPr>
              <w:widowControl w:val="0"/>
              <w:numPr>
                <w:ilvl w:val="0"/>
                <w:numId w:val="2"/>
              </w:numPr>
              <w:pBdr>
                <w:top w:val="nil"/>
                <w:left w:val="nil"/>
                <w:bottom w:val="nil"/>
                <w:right w:val="nil"/>
                <w:between w:val="nil"/>
              </w:pBdr>
              <w:spacing w:line="240" w:lineRule="auto"/>
              <w:rPr>
                <w:sz w:val="20"/>
                <w:szCs w:val="20"/>
              </w:rPr>
            </w:pPr>
            <w:r>
              <w:rPr>
                <w:sz w:val="20"/>
                <w:szCs w:val="20"/>
              </w:rPr>
              <w:t>Requires increased staffing</w:t>
            </w:r>
          </w:p>
          <w:p w14:paraId="2BBD0594" w14:textId="77777777" w:rsidR="00C769D8" w:rsidRDefault="00591C3F">
            <w:pPr>
              <w:widowControl w:val="0"/>
              <w:numPr>
                <w:ilvl w:val="0"/>
                <w:numId w:val="2"/>
              </w:numPr>
              <w:pBdr>
                <w:top w:val="nil"/>
                <w:left w:val="nil"/>
                <w:bottom w:val="nil"/>
                <w:right w:val="nil"/>
                <w:between w:val="nil"/>
              </w:pBdr>
              <w:spacing w:line="240" w:lineRule="auto"/>
              <w:rPr>
                <w:sz w:val="20"/>
                <w:szCs w:val="20"/>
              </w:rPr>
            </w:pPr>
            <w:r>
              <w:rPr>
                <w:sz w:val="20"/>
                <w:szCs w:val="20"/>
              </w:rPr>
              <w:t>Manual and untimely reporting</w:t>
            </w:r>
          </w:p>
          <w:p w14:paraId="34B1DFF2" w14:textId="77777777" w:rsidR="00C769D8" w:rsidRDefault="00591C3F">
            <w:pPr>
              <w:widowControl w:val="0"/>
              <w:numPr>
                <w:ilvl w:val="0"/>
                <w:numId w:val="2"/>
              </w:numPr>
              <w:pBdr>
                <w:top w:val="nil"/>
                <w:left w:val="nil"/>
                <w:bottom w:val="nil"/>
                <w:right w:val="nil"/>
                <w:between w:val="nil"/>
              </w:pBdr>
              <w:spacing w:line="240" w:lineRule="auto"/>
              <w:rPr>
                <w:sz w:val="20"/>
                <w:szCs w:val="20"/>
              </w:rPr>
            </w:pPr>
            <w:r>
              <w:rPr>
                <w:sz w:val="20"/>
                <w:szCs w:val="20"/>
              </w:rPr>
              <w:t>Lack of automation</w:t>
            </w:r>
          </w:p>
          <w:p w14:paraId="0D8BD72F" w14:textId="35B677E1" w:rsidR="00EB637D" w:rsidRDefault="00EB637D">
            <w:pPr>
              <w:widowControl w:val="0"/>
              <w:numPr>
                <w:ilvl w:val="0"/>
                <w:numId w:val="2"/>
              </w:numPr>
              <w:pBdr>
                <w:top w:val="nil"/>
                <w:left w:val="nil"/>
                <w:bottom w:val="nil"/>
                <w:right w:val="nil"/>
                <w:between w:val="nil"/>
              </w:pBdr>
              <w:spacing w:line="240" w:lineRule="auto"/>
              <w:rPr>
                <w:sz w:val="20"/>
                <w:szCs w:val="20"/>
              </w:rPr>
            </w:pPr>
            <w:r>
              <w:rPr>
                <w:sz w:val="20"/>
                <w:szCs w:val="20"/>
              </w:rPr>
              <w:t>Increase risk of non-compliance</w:t>
            </w:r>
          </w:p>
        </w:tc>
      </w:tr>
      <w:tr w:rsidR="00C769D8" w14:paraId="0875DC74" w14:textId="77777777">
        <w:tc>
          <w:tcPr>
            <w:tcW w:w="3630" w:type="dxa"/>
            <w:shd w:val="clear" w:color="auto" w:fill="auto"/>
            <w:tcMar>
              <w:top w:w="100" w:type="dxa"/>
              <w:left w:w="100" w:type="dxa"/>
              <w:bottom w:w="100" w:type="dxa"/>
              <w:right w:w="100" w:type="dxa"/>
            </w:tcMar>
          </w:tcPr>
          <w:p w14:paraId="2AF731A7" w14:textId="77777777" w:rsidR="00C769D8" w:rsidRDefault="00591C3F">
            <w:pPr>
              <w:widowControl w:val="0"/>
              <w:pBdr>
                <w:top w:val="nil"/>
                <w:left w:val="nil"/>
                <w:bottom w:val="nil"/>
                <w:right w:val="nil"/>
                <w:between w:val="nil"/>
              </w:pBdr>
              <w:spacing w:line="240" w:lineRule="auto"/>
              <w:rPr>
                <w:sz w:val="20"/>
                <w:szCs w:val="20"/>
              </w:rPr>
            </w:pPr>
            <w:r>
              <w:rPr>
                <w:sz w:val="20"/>
                <w:szCs w:val="20"/>
              </w:rPr>
              <w:t>Develop software internally</w:t>
            </w:r>
          </w:p>
        </w:tc>
        <w:tc>
          <w:tcPr>
            <w:tcW w:w="7170" w:type="dxa"/>
            <w:shd w:val="clear" w:color="auto" w:fill="auto"/>
            <w:tcMar>
              <w:top w:w="100" w:type="dxa"/>
              <w:left w:w="100" w:type="dxa"/>
              <w:bottom w:w="100" w:type="dxa"/>
              <w:right w:w="100" w:type="dxa"/>
            </w:tcMar>
          </w:tcPr>
          <w:p w14:paraId="68389AC6" w14:textId="77777777" w:rsidR="00C769D8" w:rsidRDefault="00591C3F">
            <w:pPr>
              <w:widowControl w:val="0"/>
              <w:numPr>
                <w:ilvl w:val="0"/>
                <w:numId w:val="5"/>
              </w:numPr>
              <w:pBdr>
                <w:top w:val="nil"/>
                <w:left w:val="nil"/>
                <w:bottom w:val="nil"/>
                <w:right w:val="nil"/>
                <w:between w:val="nil"/>
              </w:pBdr>
              <w:spacing w:line="240" w:lineRule="auto"/>
              <w:rPr>
                <w:sz w:val="20"/>
                <w:szCs w:val="20"/>
              </w:rPr>
            </w:pPr>
            <w:r>
              <w:rPr>
                <w:sz w:val="20"/>
                <w:szCs w:val="20"/>
              </w:rPr>
              <w:t>Lack of qualified resources</w:t>
            </w:r>
          </w:p>
          <w:p w14:paraId="5E96863A" w14:textId="77777777" w:rsidR="00C769D8" w:rsidRDefault="00591C3F">
            <w:pPr>
              <w:widowControl w:val="0"/>
              <w:numPr>
                <w:ilvl w:val="0"/>
                <w:numId w:val="5"/>
              </w:numPr>
              <w:pBdr>
                <w:top w:val="nil"/>
                <w:left w:val="nil"/>
                <w:bottom w:val="nil"/>
                <w:right w:val="nil"/>
                <w:between w:val="nil"/>
              </w:pBdr>
              <w:spacing w:line="240" w:lineRule="auto"/>
              <w:rPr>
                <w:sz w:val="20"/>
                <w:szCs w:val="20"/>
              </w:rPr>
            </w:pPr>
            <w:r>
              <w:rPr>
                <w:sz w:val="20"/>
                <w:szCs w:val="20"/>
              </w:rPr>
              <w:t>Significant cost associated with software design</w:t>
            </w:r>
          </w:p>
          <w:p w14:paraId="4FA85947" w14:textId="77777777" w:rsidR="00C769D8" w:rsidRDefault="00591C3F">
            <w:pPr>
              <w:widowControl w:val="0"/>
              <w:numPr>
                <w:ilvl w:val="0"/>
                <w:numId w:val="5"/>
              </w:numPr>
              <w:pBdr>
                <w:top w:val="nil"/>
                <w:left w:val="nil"/>
                <w:bottom w:val="nil"/>
                <w:right w:val="nil"/>
                <w:between w:val="nil"/>
              </w:pBdr>
              <w:spacing w:line="240" w:lineRule="auto"/>
              <w:rPr>
                <w:sz w:val="20"/>
                <w:szCs w:val="20"/>
              </w:rPr>
            </w:pPr>
            <w:r>
              <w:rPr>
                <w:sz w:val="20"/>
                <w:szCs w:val="20"/>
              </w:rPr>
              <w:t>Timeframe required is too long</w:t>
            </w:r>
          </w:p>
        </w:tc>
      </w:tr>
      <w:tr w:rsidR="00C769D8" w14:paraId="118F29E1" w14:textId="77777777">
        <w:tc>
          <w:tcPr>
            <w:tcW w:w="3630" w:type="dxa"/>
            <w:shd w:val="clear" w:color="auto" w:fill="auto"/>
            <w:tcMar>
              <w:top w:w="100" w:type="dxa"/>
              <w:left w:w="100" w:type="dxa"/>
              <w:bottom w:w="100" w:type="dxa"/>
              <w:right w:w="100" w:type="dxa"/>
            </w:tcMar>
          </w:tcPr>
          <w:p w14:paraId="2C96F195" w14:textId="77777777" w:rsidR="00C769D8" w:rsidRDefault="00591C3F">
            <w:pPr>
              <w:widowControl w:val="0"/>
              <w:pBdr>
                <w:top w:val="nil"/>
                <w:left w:val="nil"/>
                <w:bottom w:val="nil"/>
                <w:right w:val="nil"/>
                <w:between w:val="nil"/>
              </w:pBdr>
              <w:spacing w:line="240" w:lineRule="auto"/>
              <w:rPr>
                <w:sz w:val="20"/>
                <w:szCs w:val="20"/>
              </w:rPr>
            </w:pPr>
            <w:r>
              <w:rPr>
                <w:sz w:val="20"/>
                <w:szCs w:val="20"/>
              </w:rPr>
              <w:t>{</w:t>
            </w:r>
            <w:r>
              <w:rPr>
                <w:color w:val="999999"/>
                <w:sz w:val="20"/>
                <w:szCs w:val="20"/>
              </w:rPr>
              <w:t>list other product(s) explored</w:t>
            </w:r>
            <w:r>
              <w:rPr>
                <w:sz w:val="20"/>
                <w:szCs w:val="20"/>
              </w:rPr>
              <w:t>}</w:t>
            </w:r>
          </w:p>
        </w:tc>
        <w:tc>
          <w:tcPr>
            <w:tcW w:w="7170" w:type="dxa"/>
            <w:shd w:val="clear" w:color="auto" w:fill="auto"/>
            <w:tcMar>
              <w:top w:w="100" w:type="dxa"/>
              <w:left w:w="100" w:type="dxa"/>
              <w:bottom w:w="100" w:type="dxa"/>
              <w:right w:w="100" w:type="dxa"/>
            </w:tcMar>
          </w:tcPr>
          <w:p w14:paraId="35BEB7BF" w14:textId="77777777" w:rsidR="00C769D8" w:rsidRDefault="00591C3F">
            <w:pPr>
              <w:widowControl w:val="0"/>
              <w:numPr>
                <w:ilvl w:val="0"/>
                <w:numId w:val="4"/>
              </w:numPr>
              <w:pBdr>
                <w:top w:val="nil"/>
                <w:left w:val="nil"/>
                <w:bottom w:val="nil"/>
                <w:right w:val="nil"/>
                <w:between w:val="nil"/>
              </w:pBdr>
              <w:spacing w:line="240" w:lineRule="auto"/>
              <w:rPr>
                <w:sz w:val="20"/>
                <w:szCs w:val="20"/>
              </w:rPr>
            </w:pPr>
            <w:r>
              <w:rPr>
                <w:sz w:val="20"/>
                <w:szCs w:val="20"/>
              </w:rPr>
              <w:t>Significantly higher cost</w:t>
            </w:r>
          </w:p>
          <w:p w14:paraId="709BF353" w14:textId="77777777" w:rsidR="00C769D8" w:rsidRDefault="00591C3F">
            <w:pPr>
              <w:widowControl w:val="0"/>
              <w:numPr>
                <w:ilvl w:val="0"/>
                <w:numId w:val="4"/>
              </w:numPr>
              <w:pBdr>
                <w:top w:val="nil"/>
                <w:left w:val="nil"/>
                <w:bottom w:val="nil"/>
                <w:right w:val="nil"/>
                <w:between w:val="nil"/>
              </w:pBdr>
              <w:spacing w:line="240" w:lineRule="auto"/>
              <w:rPr>
                <w:sz w:val="20"/>
                <w:szCs w:val="20"/>
              </w:rPr>
            </w:pPr>
            <w:r>
              <w:rPr>
                <w:sz w:val="20"/>
                <w:szCs w:val="20"/>
              </w:rPr>
              <w:t>Lack of familiarity among sponsors and CROs</w:t>
            </w:r>
          </w:p>
          <w:p w14:paraId="29D2A84C" w14:textId="77777777" w:rsidR="00C769D8" w:rsidRDefault="00591C3F">
            <w:pPr>
              <w:widowControl w:val="0"/>
              <w:numPr>
                <w:ilvl w:val="0"/>
                <w:numId w:val="4"/>
              </w:numPr>
              <w:pBdr>
                <w:top w:val="nil"/>
                <w:left w:val="nil"/>
                <w:bottom w:val="nil"/>
                <w:right w:val="nil"/>
                <w:between w:val="nil"/>
              </w:pBdr>
              <w:spacing w:line="240" w:lineRule="auto"/>
              <w:rPr>
                <w:sz w:val="20"/>
                <w:szCs w:val="20"/>
              </w:rPr>
            </w:pPr>
            <w:r>
              <w:rPr>
                <w:sz w:val="20"/>
                <w:szCs w:val="20"/>
              </w:rPr>
              <w:t>Difficult to learn and use</w:t>
            </w:r>
          </w:p>
        </w:tc>
      </w:tr>
    </w:tbl>
    <w:p w14:paraId="3C464E0B" w14:textId="77777777" w:rsidR="00C769D8" w:rsidRDefault="00C769D8"/>
    <w:p w14:paraId="702CC366" w14:textId="77777777" w:rsidR="00C769D8" w:rsidRDefault="00591C3F">
      <w:pPr>
        <w:pStyle w:val="Heading1"/>
      </w:pPr>
      <w:bookmarkStart w:id="3" w:name="_oabm31o7kqg2" w:colFirst="0" w:colLast="0"/>
      <w:bookmarkEnd w:id="3"/>
      <w:r>
        <w:t>Business Value</w:t>
      </w:r>
    </w:p>
    <w:p w14:paraId="0051243B" w14:textId="77777777" w:rsidR="00C769D8" w:rsidRDefault="00C769D8">
      <w:pPr>
        <w:rPr>
          <w:i/>
          <w:color w:val="999999"/>
        </w:rPr>
      </w:pPr>
    </w:p>
    <w:p w14:paraId="43E7AECB" w14:textId="77777777" w:rsidR="00C769D8" w:rsidRDefault="004B75E9">
      <w:pPr>
        <w:rPr>
          <w:i/>
          <w:color w:val="999999"/>
        </w:rPr>
      </w:pPr>
      <w:r w:rsidRPr="004B75E9">
        <w:rPr>
          <w:i/>
          <w:color w:val="999999"/>
        </w:rPr>
        <w:t>This section should define how the system will help achieve your organization's goals.</w:t>
      </w:r>
      <w:r w:rsidR="00591C3F">
        <w:rPr>
          <w:i/>
          <w:color w:val="999999"/>
        </w:rPr>
        <w:t xml:space="preserve"> The following are common goals you can use to help define the business objectives.  </w:t>
      </w:r>
    </w:p>
    <w:p w14:paraId="2A2986E7" w14:textId="77777777" w:rsidR="00124D86" w:rsidRDefault="00124D86">
      <w:pPr>
        <w:rPr>
          <w:i/>
          <w:color w:val="999999"/>
        </w:rPr>
      </w:pPr>
    </w:p>
    <w:p w14:paraId="16291606" w14:textId="47C74B63" w:rsidR="00C769D8" w:rsidRPr="00124D86" w:rsidRDefault="00124D86">
      <w:pPr>
        <w:rPr>
          <w:color w:val="999999"/>
        </w:rPr>
      </w:pPr>
      <w:r w:rsidRPr="00124D86">
        <w:t>Utilizing SiteVault will help</w:t>
      </w:r>
      <w:r>
        <w:rPr>
          <w:color w:val="999999"/>
        </w:rPr>
        <w:t xml:space="preserve"> </w:t>
      </w:r>
      <w:r>
        <w:t>{</w:t>
      </w:r>
      <w:r>
        <w:rPr>
          <w:color w:val="999999"/>
        </w:rPr>
        <w:t>organization name</w:t>
      </w:r>
      <w:r>
        <w:t xml:space="preserve">} meet several strategic goals, including: </w:t>
      </w:r>
    </w:p>
    <w:p w14:paraId="413EB04F" w14:textId="77777777" w:rsidR="00C769D8" w:rsidRDefault="00C769D8"/>
    <w:p w14:paraId="1CFE8F28" w14:textId="1DC933F9" w:rsidR="00C769D8" w:rsidRDefault="004A3750">
      <w:pPr>
        <w:numPr>
          <w:ilvl w:val="0"/>
          <w:numId w:val="6"/>
        </w:numPr>
      </w:pPr>
      <w:r>
        <w:rPr>
          <w:b/>
        </w:rPr>
        <w:t>Save time and r</w:t>
      </w:r>
      <w:r w:rsidR="00591C3F">
        <w:rPr>
          <w:b/>
        </w:rPr>
        <w:t>educe administrative burden</w:t>
      </w:r>
      <w:r w:rsidR="00591C3F">
        <w:t xml:space="preserve">. Centralizing and automating regulatory processes will reduce time spent </w:t>
      </w:r>
      <w:r w:rsidR="004B75E9">
        <w:t>collecting</w:t>
      </w:r>
      <w:r w:rsidR="00591C3F">
        <w:t xml:space="preserve"> signatures, allow investigators to sign documents from anywhere, and make it easier to locate the correct version of a document.</w:t>
      </w:r>
      <w:r w:rsidR="00621056">
        <w:t xml:space="preserve"> </w:t>
      </w:r>
      <w:r w:rsidR="00621056">
        <w:t>Automated reporting eliminates manual record-keeping and makes it easy to quickly see the status of a document due for signature, an expiring CV, or a list of documents added since our last monitoring visit.</w:t>
      </w:r>
    </w:p>
    <w:p w14:paraId="63A1822B" w14:textId="5BB664C5" w:rsidR="00621056" w:rsidRPr="00621056" w:rsidRDefault="00621056">
      <w:pPr>
        <w:numPr>
          <w:ilvl w:val="0"/>
          <w:numId w:val="6"/>
        </w:numPr>
      </w:pPr>
      <w:r w:rsidRPr="00621056">
        <w:rPr>
          <w:b/>
          <w:bCs/>
        </w:rPr>
        <w:t>Work more easily with sponsors and CROs:</w:t>
      </w:r>
      <w:r>
        <w:t xml:space="preserve"> </w:t>
      </w:r>
      <w:r w:rsidRPr="00621056">
        <w:t>A</w:t>
      </w:r>
      <w:r>
        <w:t xml:space="preserve">n eRegulatory system that is connected to sponsors and CROs will </w:t>
      </w:r>
      <w:r w:rsidRPr="00621056">
        <w:t>reduce</w:t>
      </w:r>
      <w:r>
        <w:t xml:space="preserve"> redundant requests for information, </w:t>
      </w:r>
      <w:r w:rsidR="00A33555">
        <w:t>reduce training and system fatigue,</w:t>
      </w:r>
      <w:r>
        <w:t xml:space="preserve"> and enable us to r</w:t>
      </w:r>
      <w:r w:rsidRPr="00621056">
        <w:t>etain full visibility of historical data after study close-out.</w:t>
      </w:r>
    </w:p>
    <w:p w14:paraId="6CC6BDCE" w14:textId="4ADB8C48" w:rsidR="00C769D8" w:rsidRDefault="00591C3F">
      <w:pPr>
        <w:numPr>
          <w:ilvl w:val="0"/>
          <w:numId w:val="6"/>
        </w:numPr>
      </w:pPr>
      <w:r>
        <w:rPr>
          <w:b/>
        </w:rPr>
        <w:t>Speed study activation</w:t>
      </w:r>
      <w:r>
        <w:t xml:space="preserve">. The ability to create a new study binder and add people to a study in a few clicks will improve study activation timelines. Startup documents can be routed for eSignature and reporting will improve visibility into the status of open study tasks. Documents, such as CVs, can be updated once across all locations. </w:t>
      </w:r>
    </w:p>
    <w:p w14:paraId="21277F55" w14:textId="77777777" w:rsidR="00C769D8" w:rsidRDefault="00591C3F">
      <w:pPr>
        <w:numPr>
          <w:ilvl w:val="0"/>
          <w:numId w:val="6"/>
        </w:numPr>
      </w:pPr>
      <w:r>
        <w:rPr>
          <w:b/>
        </w:rPr>
        <w:t>Reduce monitoring time and costs</w:t>
      </w:r>
      <w:r>
        <w:t xml:space="preserve">. Providing study monitors with ‘self-service’ access to information will reduce redundant requests, time spent preparing for monitor visits, and the need to use multiple portals across different study sponsors. Monitors can easily identify and review new documents and will enjoy spending less time on-site. Since many monitors are already familiar with Veeva, the learning curve will be minimal. </w:t>
      </w:r>
    </w:p>
    <w:p w14:paraId="034C97A1" w14:textId="77777777" w:rsidR="00C769D8" w:rsidRDefault="00591C3F">
      <w:pPr>
        <w:numPr>
          <w:ilvl w:val="0"/>
          <w:numId w:val="6"/>
        </w:numPr>
      </w:pPr>
      <w:r>
        <w:rPr>
          <w:b/>
        </w:rPr>
        <w:lastRenderedPageBreak/>
        <w:t>Improve quality and compliance</w:t>
      </w:r>
      <w:r>
        <w:t>. Maintaining a single system to manage all master versions of a file eliminates duplicate documents, reduces the risk of errors, and ensures all files are easily accessible and up-to-date.</w:t>
      </w:r>
    </w:p>
    <w:p w14:paraId="2C61B45C" w14:textId="77777777" w:rsidR="00C769D8" w:rsidRDefault="00C769D8"/>
    <w:p w14:paraId="3B510218" w14:textId="77777777" w:rsidR="00C769D8" w:rsidRDefault="00591C3F">
      <w:pPr>
        <w:pStyle w:val="Heading1"/>
      </w:pPr>
      <w:bookmarkStart w:id="4" w:name="_czq7uas30d4q" w:colFirst="0" w:colLast="0"/>
      <w:bookmarkEnd w:id="4"/>
      <w:r>
        <w:t xml:space="preserve">Financial </w:t>
      </w:r>
      <w:r w:rsidR="004B75E9">
        <w:t>J</w:t>
      </w:r>
      <w:r>
        <w:t>ustification</w:t>
      </w:r>
    </w:p>
    <w:p w14:paraId="2DCA26F1" w14:textId="77777777" w:rsidR="00124D86" w:rsidRDefault="00124D86">
      <w:pPr>
        <w:rPr>
          <w:i/>
          <w:color w:val="999999"/>
        </w:rPr>
      </w:pPr>
    </w:p>
    <w:p w14:paraId="3F44A552" w14:textId="77777777" w:rsidR="00C769D8" w:rsidRDefault="00591C3F">
      <w:pPr>
        <w:rPr>
          <w:i/>
          <w:color w:val="999999"/>
        </w:rPr>
      </w:pPr>
      <w:r>
        <w:rPr>
          <w:i/>
          <w:color w:val="999999"/>
        </w:rPr>
        <w:t xml:space="preserve">When making purchasing decisions, sites should consider the cost savings associated with material costs and staff time. In this section, identify the current regulatory costs to your organization and how the system will reduce the costs. This section can include a simple list of tasks that will be streamlined or a detailed chart showing </w:t>
      </w:r>
      <w:r w:rsidR="004B75E9">
        <w:rPr>
          <w:i/>
          <w:color w:val="999999"/>
        </w:rPr>
        <w:t xml:space="preserve">a full time and cost analysis. </w:t>
      </w:r>
      <w:r w:rsidR="00055338">
        <w:rPr>
          <w:i/>
          <w:color w:val="999999"/>
        </w:rPr>
        <w:t xml:space="preserve">Below is an example of how you might breakdown the anticipated savings in the first year. </w:t>
      </w:r>
      <w:r w:rsidR="00124D86">
        <w:rPr>
          <w:i/>
          <w:color w:val="999999"/>
        </w:rPr>
        <w:t>Alternatively, y</w:t>
      </w:r>
      <w:r w:rsidR="00055338">
        <w:rPr>
          <w:i/>
          <w:color w:val="999999"/>
        </w:rPr>
        <w:t>ou may want to</w:t>
      </w:r>
      <w:r w:rsidR="00124D86">
        <w:rPr>
          <w:i/>
          <w:color w:val="999999"/>
        </w:rPr>
        <w:t xml:space="preserve"> show </w:t>
      </w:r>
      <w:r w:rsidR="00055338">
        <w:rPr>
          <w:i/>
          <w:color w:val="999999"/>
        </w:rPr>
        <w:t xml:space="preserve">the number of additional studies that can be managed, or other metrics that are more meaningful to management. </w:t>
      </w:r>
    </w:p>
    <w:p w14:paraId="4787165A" w14:textId="77777777" w:rsidR="00C769D8" w:rsidRDefault="00C769D8"/>
    <w:p w14:paraId="2A911FC5" w14:textId="38F7BD32" w:rsidR="00C769D8" w:rsidRPr="004A3750" w:rsidRDefault="00591C3F">
      <w:pPr>
        <w:rPr>
          <w:color w:val="FF0000"/>
        </w:rPr>
      </w:pPr>
      <w:r>
        <w:t xml:space="preserve">The following table captures the potential savings associated with the system for the first year. </w:t>
      </w:r>
    </w:p>
    <w:tbl>
      <w:tblPr>
        <w:tblStyle w:val="a0"/>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7305"/>
        <w:gridCol w:w="2355"/>
      </w:tblGrid>
      <w:tr w:rsidR="00C769D8" w14:paraId="7B491F98" w14:textId="77777777">
        <w:tc>
          <w:tcPr>
            <w:tcW w:w="1155" w:type="dxa"/>
            <w:shd w:val="clear" w:color="auto" w:fill="EFEFEF"/>
            <w:tcMar>
              <w:top w:w="100" w:type="dxa"/>
              <w:left w:w="100" w:type="dxa"/>
              <w:bottom w:w="100" w:type="dxa"/>
              <w:right w:w="100" w:type="dxa"/>
            </w:tcMar>
          </w:tcPr>
          <w:p w14:paraId="1C7C9F69" w14:textId="77777777" w:rsidR="00C769D8" w:rsidRDefault="00591C3F">
            <w:pPr>
              <w:widowControl w:val="0"/>
              <w:pBdr>
                <w:top w:val="nil"/>
                <w:left w:val="nil"/>
                <w:bottom w:val="nil"/>
                <w:right w:val="nil"/>
                <w:between w:val="nil"/>
              </w:pBdr>
              <w:spacing w:line="240" w:lineRule="auto"/>
              <w:rPr>
                <w:b/>
                <w:sz w:val="20"/>
                <w:szCs w:val="20"/>
              </w:rPr>
            </w:pPr>
            <w:r>
              <w:rPr>
                <w:b/>
                <w:sz w:val="20"/>
                <w:szCs w:val="20"/>
              </w:rPr>
              <w:t>Type</w:t>
            </w:r>
          </w:p>
        </w:tc>
        <w:tc>
          <w:tcPr>
            <w:tcW w:w="7305" w:type="dxa"/>
            <w:shd w:val="clear" w:color="auto" w:fill="EFEFEF"/>
            <w:tcMar>
              <w:top w:w="100" w:type="dxa"/>
              <w:left w:w="100" w:type="dxa"/>
              <w:bottom w:w="100" w:type="dxa"/>
              <w:right w:w="100" w:type="dxa"/>
            </w:tcMar>
          </w:tcPr>
          <w:p w14:paraId="73FC46A0" w14:textId="77777777" w:rsidR="00C769D8" w:rsidRDefault="00591C3F">
            <w:pPr>
              <w:widowControl w:val="0"/>
              <w:pBdr>
                <w:top w:val="nil"/>
                <w:left w:val="nil"/>
                <w:bottom w:val="nil"/>
                <w:right w:val="nil"/>
                <w:between w:val="nil"/>
              </w:pBdr>
              <w:spacing w:line="240" w:lineRule="auto"/>
              <w:rPr>
                <w:b/>
                <w:sz w:val="20"/>
                <w:szCs w:val="20"/>
              </w:rPr>
            </w:pPr>
            <w:r>
              <w:rPr>
                <w:b/>
                <w:sz w:val="20"/>
                <w:szCs w:val="20"/>
              </w:rPr>
              <w:t>Description</w:t>
            </w:r>
          </w:p>
        </w:tc>
        <w:tc>
          <w:tcPr>
            <w:tcW w:w="2355" w:type="dxa"/>
            <w:shd w:val="clear" w:color="auto" w:fill="EFEFEF"/>
            <w:tcMar>
              <w:top w:w="100" w:type="dxa"/>
              <w:left w:w="100" w:type="dxa"/>
              <w:bottom w:w="100" w:type="dxa"/>
              <w:right w:w="100" w:type="dxa"/>
            </w:tcMar>
          </w:tcPr>
          <w:p w14:paraId="302E4CE8" w14:textId="77777777" w:rsidR="00C769D8" w:rsidRDefault="00591C3F">
            <w:pPr>
              <w:widowControl w:val="0"/>
              <w:pBdr>
                <w:top w:val="nil"/>
                <w:left w:val="nil"/>
                <w:bottom w:val="nil"/>
                <w:right w:val="nil"/>
                <w:between w:val="nil"/>
              </w:pBdr>
              <w:spacing w:line="240" w:lineRule="auto"/>
              <w:rPr>
                <w:b/>
                <w:sz w:val="20"/>
                <w:szCs w:val="20"/>
              </w:rPr>
            </w:pPr>
            <w:r>
              <w:rPr>
                <w:b/>
                <w:sz w:val="20"/>
                <w:szCs w:val="20"/>
              </w:rPr>
              <w:t>First year costs and anticipated savings</w:t>
            </w:r>
          </w:p>
        </w:tc>
      </w:tr>
      <w:tr w:rsidR="00C769D8" w14:paraId="4E756A62" w14:textId="77777777">
        <w:tc>
          <w:tcPr>
            <w:tcW w:w="1155" w:type="dxa"/>
            <w:shd w:val="clear" w:color="auto" w:fill="auto"/>
            <w:tcMar>
              <w:top w:w="100" w:type="dxa"/>
              <w:left w:w="100" w:type="dxa"/>
              <w:bottom w:w="100" w:type="dxa"/>
              <w:right w:w="100" w:type="dxa"/>
            </w:tcMar>
          </w:tcPr>
          <w:p w14:paraId="3F4DF6B7" w14:textId="77777777" w:rsidR="00C769D8" w:rsidRDefault="00591C3F">
            <w:pPr>
              <w:widowControl w:val="0"/>
              <w:pBdr>
                <w:top w:val="nil"/>
                <w:left w:val="nil"/>
                <w:bottom w:val="nil"/>
                <w:right w:val="nil"/>
                <w:between w:val="nil"/>
              </w:pBdr>
              <w:spacing w:line="240" w:lineRule="auto"/>
              <w:rPr>
                <w:sz w:val="20"/>
                <w:szCs w:val="20"/>
              </w:rPr>
            </w:pPr>
            <w:r>
              <w:rPr>
                <w:sz w:val="20"/>
                <w:szCs w:val="20"/>
              </w:rPr>
              <w:t>Cost</w:t>
            </w:r>
          </w:p>
        </w:tc>
        <w:tc>
          <w:tcPr>
            <w:tcW w:w="7305" w:type="dxa"/>
            <w:shd w:val="clear" w:color="auto" w:fill="auto"/>
            <w:tcMar>
              <w:top w:w="100" w:type="dxa"/>
              <w:left w:w="100" w:type="dxa"/>
              <w:bottom w:w="100" w:type="dxa"/>
              <w:right w:w="100" w:type="dxa"/>
            </w:tcMar>
          </w:tcPr>
          <w:p w14:paraId="2CFEA4EC" w14:textId="77777777" w:rsidR="00C769D8" w:rsidRDefault="00591C3F">
            <w:pPr>
              <w:widowControl w:val="0"/>
              <w:pBdr>
                <w:top w:val="nil"/>
                <w:left w:val="nil"/>
                <w:bottom w:val="nil"/>
                <w:right w:val="nil"/>
                <w:between w:val="nil"/>
              </w:pBdr>
              <w:spacing w:line="240" w:lineRule="auto"/>
              <w:rPr>
                <w:sz w:val="20"/>
                <w:szCs w:val="20"/>
              </w:rPr>
            </w:pPr>
            <w:r>
              <w:rPr>
                <w:sz w:val="20"/>
                <w:szCs w:val="20"/>
              </w:rPr>
              <w:t>Product and licensing fees</w:t>
            </w:r>
          </w:p>
        </w:tc>
        <w:tc>
          <w:tcPr>
            <w:tcW w:w="2355" w:type="dxa"/>
            <w:shd w:val="clear" w:color="auto" w:fill="auto"/>
            <w:tcMar>
              <w:top w:w="100" w:type="dxa"/>
              <w:left w:w="100" w:type="dxa"/>
              <w:bottom w:w="100" w:type="dxa"/>
              <w:right w:w="100" w:type="dxa"/>
            </w:tcMar>
          </w:tcPr>
          <w:p w14:paraId="4009AE6D" w14:textId="77777777" w:rsidR="00C769D8" w:rsidRDefault="00591C3F">
            <w:pPr>
              <w:widowControl w:val="0"/>
              <w:pBdr>
                <w:top w:val="nil"/>
                <w:left w:val="nil"/>
                <w:bottom w:val="nil"/>
                <w:right w:val="nil"/>
                <w:between w:val="nil"/>
              </w:pBdr>
              <w:spacing w:line="240" w:lineRule="auto"/>
              <w:jc w:val="right"/>
              <w:rPr>
                <w:sz w:val="20"/>
                <w:szCs w:val="20"/>
              </w:rPr>
            </w:pPr>
            <w:r>
              <w:rPr>
                <w:sz w:val="20"/>
                <w:szCs w:val="20"/>
              </w:rPr>
              <w:t>$0.00</w:t>
            </w:r>
          </w:p>
        </w:tc>
      </w:tr>
      <w:tr w:rsidR="00C769D8" w14:paraId="0573B57E" w14:textId="77777777">
        <w:tc>
          <w:tcPr>
            <w:tcW w:w="1155" w:type="dxa"/>
            <w:shd w:val="clear" w:color="auto" w:fill="auto"/>
            <w:tcMar>
              <w:top w:w="100" w:type="dxa"/>
              <w:left w:w="100" w:type="dxa"/>
              <w:bottom w:w="100" w:type="dxa"/>
              <w:right w:w="100" w:type="dxa"/>
            </w:tcMar>
          </w:tcPr>
          <w:p w14:paraId="097F02D4" w14:textId="77777777" w:rsidR="00C769D8" w:rsidRDefault="00591C3F">
            <w:pPr>
              <w:widowControl w:val="0"/>
              <w:spacing w:line="240" w:lineRule="auto"/>
              <w:rPr>
                <w:sz w:val="20"/>
                <w:szCs w:val="20"/>
              </w:rPr>
            </w:pPr>
            <w:r>
              <w:rPr>
                <w:sz w:val="20"/>
                <w:szCs w:val="20"/>
              </w:rPr>
              <w:t>Cost</w:t>
            </w:r>
          </w:p>
        </w:tc>
        <w:tc>
          <w:tcPr>
            <w:tcW w:w="7305" w:type="dxa"/>
            <w:shd w:val="clear" w:color="auto" w:fill="auto"/>
            <w:tcMar>
              <w:top w:w="100" w:type="dxa"/>
              <w:left w:w="100" w:type="dxa"/>
              <w:bottom w:w="100" w:type="dxa"/>
              <w:right w:w="100" w:type="dxa"/>
            </w:tcMar>
          </w:tcPr>
          <w:p w14:paraId="689C2E98" w14:textId="77777777" w:rsidR="00C769D8" w:rsidRDefault="00591C3F">
            <w:pPr>
              <w:widowControl w:val="0"/>
              <w:pBdr>
                <w:top w:val="nil"/>
                <w:left w:val="nil"/>
                <w:bottom w:val="nil"/>
                <w:right w:val="nil"/>
                <w:between w:val="nil"/>
              </w:pBdr>
              <w:spacing w:line="240" w:lineRule="auto"/>
              <w:rPr>
                <w:sz w:val="20"/>
                <w:szCs w:val="20"/>
              </w:rPr>
            </w:pPr>
            <w:r>
              <w:rPr>
                <w:sz w:val="20"/>
                <w:szCs w:val="20"/>
              </w:rPr>
              <w:t>Direct costs for software installation, support, and training</w:t>
            </w:r>
          </w:p>
        </w:tc>
        <w:tc>
          <w:tcPr>
            <w:tcW w:w="2355" w:type="dxa"/>
            <w:shd w:val="clear" w:color="auto" w:fill="auto"/>
            <w:tcMar>
              <w:top w:w="100" w:type="dxa"/>
              <w:left w:w="100" w:type="dxa"/>
              <w:bottom w:w="100" w:type="dxa"/>
              <w:right w:w="100" w:type="dxa"/>
            </w:tcMar>
          </w:tcPr>
          <w:p w14:paraId="4AB4642B" w14:textId="77777777" w:rsidR="00C769D8" w:rsidRDefault="00591C3F">
            <w:pPr>
              <w:widowControl w:val="0"/>
              <w:pBdr>
                <w:top w:val="nil"/>
                <w:left w:val="nil"/>
                <w:bottom w:val="nil"/>
                <w:right w:val="nil"/>
                <w:between w:val="nil"/>
              </w:pBdr>
              <w:spacing w:line="240" w:lineRule="auto"/>
              <w:jc w:val="right"/>
              <w:rPr>
                <w:sz w:val="20"/>
                <w:szCs w:val="20"/>
              </w:rPr>
            </w:pPr>
            <w:r>
              <w:rPr>
                <w:sz w:val="20"/>
                <w:szCs w:val="20"/>
              </w:rPr>
              <w:t>$0.00</w:t>
            </w:r>
          </w:p>
        </w:tc>
      </w:tr>
      <w:tr w:rsidR="00C769D8" w14:paraId="5FD0282E" w14:textId="77777777">
        <w:tc>
          <w:tcPr>
            <w:tcW w:w="1155" w:type="dxa"/>
            <w:shd w:val="clear" w:color="auto" w:fill="auto"/>
            <w:tcMar>
              <w:top w:w="100" w:type="dxa"/>
              <w:left w:w="100" w:type="dxa"/>
              <w:bottom w:w="100" w:type="dxa"/>
              <w:right w:w="100" w:type="dxa"/>
            </w:tcMar>
          </w:tcPr>
          <w:p w14:paraId="43065D84" w14:textId="77777777" w:rsidR="00C769D8" w:rsidRDefault="00591C3F">
            <w:pPr>
              <w:widowControl w:val="0"/>
              <w:spacing w:line="240" w:lineRule="auto"/>
              <w:rPr>
                <w:sz w:val="20"/>
                <w:szCs w:val="20"/>
              </w:rPr>
            </w:pPr>
            <w:r>
              <w:rPr>
                <w:sz w:val="20"/>
                <w:szCs w:val="20"/>
              </w:rPr>
              <w:t>Savings</w:t>
            </w:r>
          </w:p>
        </w:tc>
        <w:tc>
          <w:tcPr>
            <w:tcW w:w="7305" w:type="dxa"/>
            <w:shd w:val="clear" w:color="auto" w:fill="auto"/>
            <w:tcMar>
              <w:top w:w="100" w:type="dxa"/>
              <w:left w:w="100" w:type="dxa"/>
              <w:bottom w:w="100" w:type="dxa"/>
              <w:right w:w="100" w:type="dxa"/>
            </w:tcMar>
          </w:tcPr>
          <w:p w14:paraId="663E7A60" w14:textId="77777777" w:rsidR="00C769D8" w:rsidRDefault="00591C3F">
            <w:pPr>
              <w:widowControl w:val="0"/>
              <w:pBdr>
                <w:top w:val="nil"/>
                <w:left w:val="nil"/>
                <w:bottom w:val="nil"/>
                <w:right w:val="nil"/>
                <w:between w:val="nil"/>
              </w:pBdr>
              <w:spacing w:line="240" w:lineRule="auto"/>
              <w:rPr>
                <w:sz w:val="20"/>
                <w:szCs w:val="20"/>
              </w:rPr>
            </w:pPr>
            <w:r>
              <w:rPr>
                <w:sz w:val="20"/>
                <w:szCs w:val="20"/>
              </w:rPr>
              <w:t>Material savings for reduction of paper, ink, storage space</w:t>
            </w:r>
          </w:p>
          <w:p w14:paraId="05E9A486" w14:textId="77777777" w:rsidR="00F80872" w:rsidRDefault="00F80872">
            <w:pPr>
              <w:widowControl w:val="0"/>
              <w:spacing w:line="240" w:lineRule="auto"/>
              <w:rPr>
                <w:color w:val="999999"/>
                <w:sz w:val="16"/>
                <w:szCs w:val="16"/>
              </w:rPr>
            </w:pPr>
          </w:p>
          <w:p w14:paraId="6F594E84" w14:textId="77777777" w:rsidR="00C769D8" w:rsidRPr="00163856" w:rsidRDefault="00591C3F">
            <w:pPr>
              <w:widowControl w:val="0"/>
              <w:spacing w:line="240" w:lineRule="auto"/>
              <w:rPr>
                <w:i/>
                <w:sz w:val="18"/>
                <w:szCs w:val="18"/>
              </w:rPr>
            </w:pPr>
            <w:r w:rsidRPr="00163856">
              <w:rPr>
                <w:i/>
                <w:color w:val="999999"/>
                <w:sz w:val="18"/>
                <w:szCs w:val="18"/>
              </w:rPr>
              <w:t>Calculate the anticipated savings for paper, binders, printer ink, and storage of active study binders and documents.</w:t>
            </w:r>
          </w:p>
        </w:tc>
        <w:tc>
          <w:tcPr>
            <w:tcW w:w="2355" w:type="dxa"/>
            <w:shd w:val="clear" w:color="auto" w:fill="auto"/>
            <w:tcMar>
              <w:top w:w="100" w:type="dxa"/>
              <w:left w:w="100" w:type="dxa"/>
              <w:bottom w:w="100" w:type="dxa"/>
              <w:right w:w="100" w:type="dxa"/>
            </w:tcMar>
          </w:tcPr>
          <w:p w14:paraId="502613BD" w14:textId="77777777" w:rsidR="00C769D8" w:rsidRPr="00F80872" w:rsidRDefault="00591C3F">
            <w:pPr>
              <w:widowControl w:val="0"/>
              <w:spacing w:line="240" w:lineRule="auto"/>
              <w:jc w:val="right"/>
              <w:rPr>
                <w:color w:val="A6A6A6" w:themeColor="background1" w:themeShade="A6"/>
                <w:sz w:val="20"/>
                <w:szCs w:val="20"/>
              </w:rPr>
            </w:pPr>
            <w:r w:rsidRPr="00F80872">
              <w:rPr>
                <w:color w:val="A6A6A6" w:themeColor="background1" w:themeShade="A6"/>
                <w:sz w:val="20"/>
                <w:szCs w:val="20"/>
              </w:rPr>
              <w:t>$</w:t>
            </w:r>
          </w:p>
        </w:tc>
      </w:tr>
      <w:tr w:rsidR="00C769D8" w14:paraId="6ADC1A60" w14:textId="77777777">
        <w:tc>
          <w:tcPr>
            <w:tcW w:w="1155" w:type="dxa"/>
            <w:shd w:val="clear" w:color="auto" w:fill="auto"/>
            <w:tcMar>
              <w:top w:w="100" w:type="dxa"/>
              <w:left w:w="100" w:type="dxa"/>
              <w:bottom w:w="100" w:type="dxa"/>
              <w:right w:w="100" w:type="dxa"/>
            </w:tcMar>
          </w:tcPr>
          <w:p w14:paraId="4FA2437A" w14:textId="77777777" w:rsidR="00C769D8" w:rsidRDefault="00591C3F">
            <w:pPr>
              <w:widowControl w:val="0"/>
              <w:spacing w:line="240" w:lineRule="auto"/>
              <w:rPr>
                <w:sz w:val="20"/>
                <w:szCs w:val="20"/>
              </w:rPr>
            </w:pPr>
            <w:r>
              <w:rPr>
                <w:sz w:val="20"/>
                <w:szCs w:val="20"/>
              </w:rPr>
              <w:t>Savings</w:t>
            </w:r>
          </w:p>
        </w:tc>
        <w:tc>
          <w:tcPr>
            <w:tcW w:w="7305" w:type="dxa"/>
            <w:shd w:val="clear" w:color="auto" w:fill="auto"/>
            <w:tcMar>
              <w:top w:w="100" w:type="dxa"/>
              <w:left w:w="100" w:type="dxa"/>
              <w:bottom w:w="100" w:type="dxa"/>
              <w:right w:w="100" w:type="dxa"/>
            </w:tcMar>
          </w:tcPr>
          <w:p w14:paraId="1F038633" w14:textId="77777777" w:rsidR="00C769D8" w:rsidRDefault="00591C3F">
            <w:pPr>
              <w:widowControl w:val="0"/>
              <w:spacing w:line="240" w:lineRule="auto"/>
              <w:rPr>
                <w:sz w:val="20"/>
                <w:szCs w:val="20"/>
              </w:rPr>
            </w:pPr>
            <w:r>
              <w:rPr>
                <w:sz w:val="20"/>
                <w:szCs w:val="20"/>
              </w:rPr>
              <w:t>Archival fee savings for storing documents electronically</w:t>
            </w:r>
          </w:p>
          <w:p w14:paraId="65401510" w14:textId="77777777" w:rsidR="00F80872" w:rsidRDefault="00F80872">
            <w:pPr>
              <w:widowControl w:val="0"/>
              <w:spacing w:line="240" w:lineRule="auto"/>
              <w:rPr>
                <w:color w:val="999999"/>
                <w:sz w:val="16"/>
                <w:szCs w:val="16"/>
              </w:rPr>
            </w:pPr>
          </w:p>
          <w:p w14:paraId="6674EC0A" w14:textId="77777777" w:rsidR="00C769D8" w:rsidRPr="00163856" w:rsidRDefault="00591C3F">
            <w:pPr>
              <w:widowControl w:val="0"/>
              <w:spacing w:line="240" w:lineRule="auto"/>
              <w:rPr>
                <w:i/>
                <w:sz w:val="18"/>
                <w:szCs w:val="18"/>
              </w:rPr>
            </w:pPr>
            <w:r w:rsidRPr="00163856">
              <w:rPr>
                <w:i/>
                <w:color w:val="999999"/>
                <w:sz w:val="18"/>
                <w:szCs w:val="18"/>
              </w:rPr>
              <w:t xml:space="preserve">Calculate the anticipated savings for long term archival / storage of study documents. </w:t>
            </w:r>
          </w:p>
        </w:tc>
        <w:tc>
          <w:tcPr>
            <w:tcW w:w="2355" w:type="dxa"/>
            <w:shd w:val="clear" w:color="auto" w:fill="auto"/>
            <w:tcMar>
              <w:top w:w="100" w:type="dxa"/>
              <w:left w:w="100" w:type="dxa"/>
              <w:bottom w:w="100" w:type="dxa"/>
              <w:right w:w="100" w:type="dxa"/>
            </w:tcMar>
          </w:tcPr>
          <w:p w14:paraId="2E9024AF" w14:textId="77777777" w:rsidR="00C769D8" w:rsidRPr="00F80872" w:rsidRDefault="00591C3F">
            <w:pPr>
              <w:widowControl w:val="0"/>
              <w:spacing w:line="240" w:lineRule="auto"/>
              <w:jc w:val="right"/>
              <w:rPr>
                <w:color w:val="A6A6A6" w:themeColor="background1" w:themeShade="A6"/>
                <w:sz w:val="20"/>
                <w:szCs w:val="20"/>
              </w:rPr>
            </w:pPr>
            <w:r w:rsidRPr="00F80872">
              <w:rPr>
                <w:color w:val="A6A6A6" w:themeColor="background1" w:themeShade="A6"/>
                <w:sz w:val="20"/>
                <w:szCs w:val="20"/>
              </w:rPr>
              <w:t>$</w:t>
            </w:r>
          </w:p>
        </w:tc>
      </w:tr>
      <w:tr w:rsidR="00C769D8" w14:paraId="455066B9" w14:textId="77777777">
        <w:tc>
          <w:tcPr>
            <w:tcW w:w="1155" w:type="dxa"/>
            <w:shd w:val="clear" w:color="auto" w:fill="auto"/>
            <w:tcMar>
              <w:top w:w="100" w:type="dxa"/>
              <w:left w:w="100" w:type="dxa"/>
              <w:bottom w:w="100" w:type="dxa"/>
              <w:right w:w="100" w:type="dxa"/>
            </w:tcMar>
          </w:tcPr>
          <w:p w14:paraId="18ECB5AF" w14:textId="77777777" w:rsidR="00C769D8" w:rsidRDefault="00591C3F">
            <w:pPr>
              <w:widowControl w:val="0"/>
              <w:pBdr>
                <w:top w:val="nil"/>
                <w:left w:val="nil"/>
                <w:bottom w:val="nil"/>
                <w:right w:val="nil"/>
                <w:between w:val="nil"/>
              </w:pBdr>
              <w:spacing w:line="240" w:lineRule="auto"/>
              <w:rPr>
                <w:sz w:val="20"/>
                <w:szCs w:val="20"/>
              </w:rPr>
            </w:pPr>
            <w:r>
              <w:rPr>
                <w:sz w:val="20"/>
                <w:szCs w:val="20"/>
              </w:rPr>
              <w:t>Savings</w:t>
            </w:r>
          </w:p>
        </w:tc>
        <w:tc>
          <w:tcPr>
            <w:tcW w:w="7305" w:type="dxa"/>
            <w:shd w:val="clear" w:color="auto" w:fill="auto"/>
            <w:tcMar>
              <w:top w:w="100" w:type="dxa"/>
              <w:left w:w="100" w:type="dxa"/>
              <w:bottom w:w="100" w:type="dxa"/>
              <w:right w:w="100" w:type="dxa"/>
            </w:tcMar>
          </w:tcPr>
          <w:p w14:paraId="4C02C820" w14:textId="77777777" w:rsidR="00C769D8" w:rsidRDefault="00591C3F">
            <w:pPr>
              <w:widowControl w:val="0"/>
              <w:pBdr>
                <w:top w:val="nil"/>
                <w:left w:val="nil"/>
                <w:bottom w:val="nil"/>
                <w:right w:val="nil"/>
                <w:between w:val="nil"/>
              </w:pBdr>
              <w:spacing w:line="240" w:lineRule="auto"/>
              <w:rPr>
                <w:sz w:val="20"/>
                <w:szCs w:val="20"/>
              </w:rPr>
            </w:pPr>
            <w:r>
              <w:rPr>
                <w:sz w:val="20"/>
                <w:szCs w:val="20"/>
              </w:rPr>
              <w:t>Time saving</w:t>
            </w:r>
            <w:r w:rsidR="00055338">
              <w:rPr>
                <w:sz w:val="20"/>
                <w:szCs w:val="20"/>
              </w:rPr>
              <w:t>s</w:t>
            </w:r>
            <w:r>
              <w:rPr>
                <w:sz w:val="20"/>
                <w:szCs w:val="20"/>
              </w:rPr>
              <w:t xml:space="preserve"> for collecting signatures</w:t>
            </w:r>
          </w:p>
          <w:p w14:paraId="21C44D64" w14:textId="77777777" w:rsidR="00F80872" w:rsidRDefault="00F80872">
            <w:pPr>
              <w:widowControl w:val="0"/>
              <w:pBdr>
                <w:top w:val="nil"/>
                <w:left w:val="nil"/>
                <w:bottom w:val="nil"/>
                <w:right w:val="nil"/>
                <w:between w:val="nil"/>
              </w:pBdr>
              <w:spacing w:line="240" w:lineRule="auto"/>
              <w:rPr>
                <w:color w:val="999999"/>
                <w:sz w:val="16"/>
                <w:szCs w:val="16"/>
              </w:rPr>
            </w:pPr>
          </w:p>
          <w:p w14:paraId="02D9C009" w14:textId="77777777" w:rsidR="00C769D8" w:rsidRPr="00163856" w:rsidRDefault="00591C3F">
            <w:pPr>
              <w:widowControl w:val="0"/>
              <w:pBdr>
                <w:top w:val="nil"/>
                <w:left w:val="nil"/>
                <w:bottom w:val="nil"/>
                <w:right w:val="nil"/>
                <w:between w:val="nil"/>
              </w:pBdr>
              <w:spacing w:line="240" w:lineRule="auto"/>
              <w:rPr>
                <w:i/>
                <w:sz w:val="18"/>
                <w:szCs w:val="18"/>
              </w:rPr>
            </w:pPr>
            <w:r w:rsidRPr="00163856">
              <w:rPr>
                <w:i/>
                <w:color w:val="999999"/>
                <w:sz w:val="18"/>
                <w:szCs w:val="18"/>
              </w:rPr>
              <w:t>Calculate the anticipated time / costs saved collecting and tracking signatures. For example: 1 full-time regulatory coordinator currently spends about 5 hours per week routing and tracking signatures. It is anticipated that this number will be reduced to no more than 1 hour per week. With 3 full time staff at an average of $30 per hour, this results in ($30 x 4 / week reduced time x 3 regulatory staff x 52 weeks) $18,720 in savings annually.</w:t>
            </w:r>
          </w:p>
        </w:tc>
        <w:tc>
          <w:tcPr>
            <w:tcW w:w="2355" w:type="dxa"/>
            <w:shd w:val="clear" w:color="auto" w:fill="auto"/>
            <w:tcMar>
              <w:top w:w="100" w:type="dxa"/>
              <w:left w:w="100" w:type="dxa"/>
              <w:bottom w:w="100" w:type="dxa"/>
              <w:right w:w="100" w:type="dxa"/>
            </w:tcMar>
          </w:tcPr>
          <w:p w14:paraId="76A8D06A" w14:textId="77777777" w:rsidR="00C769D8" w:rsidRPr="00F80872" w:rsidRDefault="00591C3F">
            <w:pPr>
              <w:widowControl w:val="0"/>
              <w:pBdr>
                <w:top w:val="nil"/>
                <w:left w:val="nil"/>
                <w:bottom w:val="nil"/>
                <w:right w:val="nil"/>
                <w:between w:val="nil"/>
              </w:pBdr>
              <w:spacing w:line="240" w:lineRule="auto"/>
              <w:jc w:val="right"/>
              <w:rPr>
                <w:i/>
                <w:color w:val="A6A6A6" w:themeColor="background1" w:themeShade="A6"/>
                <w:sz w:val="20"/>
                <w:szCs w:val="20"/>
              </w:rPr>
            </w:pPr>
            <w:r w:rsidRPr="00F80872">
              <w:rPr>
                <w:color w:val="A6A6A6" w:themeColor="background1" w:themeShade="A6"/>
                <w:sz w:val="20"/>
                <w:szCs w:val="20"/>
              </w:rPr>
              <w:t>$</w:t>
            </w:r>
          </w:p>
        </w:tc>
      </w:tr>
      <w:tr w:rsidR="00C769D8" w14:paraId="541A3F95" w14:textId="77777777">
        <w:tc>
          <w:tcPr>
            <w:tcW w:w="1155" w:type="dxa"/>
            <w:shd w:val="clear" w:color="auto" w:fill="auto"/>
            <w:tcMar>
              <w:top w:w="100" w:type="dxa"/>
              <w:left w:w="100" w:type="dxa"/>
              <w:bottom w:w="100" w:type="dxa"/>
              <w:right w:w="100" w:type="dxa"/>
            </w:tcMar>
          </w:tcPr>
          <w:p w14:paraId="3881AD7C" w14:textId="77777777" w:rsidR="00C769D8" w:rsidRDefault="00591C3F">
            <w:pPr>
              <w:widowControl w:val="0"/>
              <w:spacing w:line="240" w:lineRule="auto"/>
              <w:rPr>
                <w:sz w:val="20"/>
                <w:szCs w:val="20"/>
              </w:rPr>
            </w:pPr>
            <w:r>
              <w:rPr>
                <w:sz w:val="20"/>
                <w:szCs w:val="20"/>
              </w:rPr>
              <w:t>Savings</w:t>
            </w:r>
          </w:p>
        </w:tc>
        <w:tc>
          <w:tcPr>
            <w:tcW w:w="7305" w:type="dxa"/>
            <w:shd w:val="clear" w:color="auto" w:fill="auto"/>
            <w:tcMar>
              <w:top w:w="100" w:type="dxa"/>
              <w:left w:w="100" w:type="dxa"/>
              <w:bottom w:w="100" w:type="dxa"/>
              <w:right w:w="100" w:type="dxa"/>
            </w:tcMar>
          </w:tcPr>
          <w:p w14:paraId="61E94590" w14:textId="77777777" w:rsidR="00C769D8" w:rsidRPr="00F80872" w:rsidRDefault="00591C3F" w:rsidP="00F80872">
            <w:pPr>
              <w:widowControl w:val="0"/>
              <w:spacing w:line="240" w:lineRule="auto"/>
              <w:rPr>
                <w:sz w:val="20"/>
                <w:szCs w:val="20"/>
              </w:rPr>
            </w:pPr>
            <w:r w:rsidRPr="00F80872">
              <w:rPr>
                <w:sz w:val="20"/>
                <w:szCs w:val="20"/>
              </w:rPr>
              <w:t>Time saving</w:t>
            </w:r>
            <w:r w:rsidR="00055338" w:rsidRPr="00F80872">
              <w:rPr>
                <w:sz w:val="20"/>
                <w:szCs w:val="20"/>
              </w:rPr>
              <w:t>s</w:t>
            </w:r>
            <w:r w:rsidRPr="00F80872">
              <w:rPr>
                <w:sz w:val="20"/>
                <w:szCs w:val="20"/>
              </w:rPr>
              <w:t xml:space="preserve"> for managing staff profile documents</w:t>
            </w:r>
          </w:p>
          <w:p w14:paraId="4D1E8525" w14:textId="77777777" w:rsidR="00F80872" w:rsidRDefault="00F80872">
            <w:pPr>
              <w:widowControl w:val="0"/>
              <w:spacing w:line="240" w:lineRule="auto"/>
              <w:rPr>
                <w:color w:val="999999"/>
                <w:sz w:val="16"/>
                <w:szCs w:val="16"/>
              </w:rPr>
            </w:pPr>
          </w:p>
          <w:p w14:paraId="26E6C27F" w14:textId="77777777" w:rsidR="00C55059" w:rsidRPr="00163856" w:rsidRDefault="00591C3F">
            <w:pPr>
              <w:widowControl w:val="0"/>
              <w:spacing w:line="240" w:lineRule="auto"/>
              <w:rPr>
                <w:i/>
                <w:color w:val="999999"/>
                <w:sz w:val="18"/>
                <w:szCs w:val="18"/>
              </w:rPr>
            </w:pPr>
            <w:r w:rsidRPr="00163856">
              <w:rPr>
                <w:i/>
                <w:color w:val="999999"/>
                <w:sz w:val="18"/>
                <w:szCs w:val="18"/>
              </w:rPr>
              <w:t xml:space="preserve">Calculate the anticipated time / costs saved with the ability to update staff profile documents one across all studies. </w:t>
            </w:r>
            <w:r w:rsidR="00055338" w:rsidRPr="00163856">
              <w:rPr>
                <w:i/>
                <w:color w:val="999999"/>
                <w:sz w:val="18"/>
                <w:szCs w:val="18"/>
              </w:rPr>
              <w:t xml:space="preserve">If your site is paper based, consider the time involved with printing, re-printing, and manually filing medical licenses and CVs into your regulatory binder. If your site utilizes a shared drive, consider the time spent updating and copying documents to different folders or shared drives. </w:t>
            </w:r>
            <w:r w:rsidR="00C55059" w:rsidRPr="00163856">
              <w:rPr>
                <w:i/>
                <w:color w:val="999999"/>
                <w:sz w:val="18"/>
                <w:szCs w:val="18"/>
              </w:rPr>
              <w:t xml:space="preserve"> </w:t>
            </w:r>
          </w:p>
        </w:tc>
        <w:tc>
          <w:tcPr>
            <w:tcW w:w="2355" w:type="dxa"/>
            <w:shd w:val="clear" w:color="auto" w:fill="auto"/>
            <w:tcMar>
              <w:top w:w="100" w:type="dxa"/>
              <w:left w:w="100" w:type="dxa"/>
              <w:bottom w:w="100" w:type="dxa"/>
              <w:right w:w="100" w:type="dxa"/>
            </w:tcMar>
          </w:tcPr>
          <w:p w14:paraId="7DC044BF" w14:textId="77777777" w:rsidR="00C769D8" w:rsidRPr="00F80872" w:rsidRDefault="00591C3F">
            <w:pPr>
              <w:widowControl w:val="0"/>
              <w:pBdr>
                <w:top w:val="nil"/>
                <w:left w:val="nil"/>
                <w:bottom w:val="nil"/>
                <w:right w:val="nil"/>
                <w:between w:val="nil"/>
              </w:pBdr>
              <w:spacing w:line="240" w:lineRule="auto"/>
              <w:jc w:val="right"/>
              <w:rPr>
                <w:color w:val="A6A6A6" w:themeColor="background1" w:themeShade="A6"/>
                <w:sz w:val="20"/>
                <w:szCs w:val="20"/>
              </w:rPr>
            </w:pPr>
            <w:r w:rsidRPr="00F80872">
              <w:rPr>
                <w:color w:val="A6A6A6" w:themeColor="background1" w:themeShade="A6"/>
                <w:sz w:val="20"/>
                <w:szCs w:val="20"/>
              </w:rPr>
              <w:t>$</w:t>
            </w:r>
          </w:p>
        </w:tc>
      </w:tr>
      <w:tr w:rsidR="00C769D8" w14:paraId="291E78C1" w14:textId="77777777">
        <w:tc>
          <w:tcPr>
            <w:tcW w:w="1155" w:type="dxa"/>
            <w:shd w:val="clear" w:color="auto" w:fill="auto"/>
            <w:tcMar>
              <w:top w:w="100" w:type="dxa"/>
              <w:left w:w="100" w:type="dxa"/>
              <w:bottom w:w="100" w:type="dxa"/>
              <w:right w:w="100" w:type="dxa"/>
            </w:tcMar>
          </w:tcPr>
          <w:p w14:paraId="0E061C10" w14:textId="77777777" w:rsidR="00C769D8" w:rsidRDefault="00591C3F">
            <w:pPr>
              <w:widowControl w:val="0"/>
              <w:spacing w:line="240" w:lineRule="auto"/>
              <w:rPr>
                <w:sz w:val="20"/>
                <w:szCs w:val="20"/>
              </w:rPr>
            </w:pPr>
            <w:r>
              <w:rPr>
                <w:sz w:val="20"/>
                <w:szCs w:val="20"/>
              </w:rPr>
              <w:t>Savings</w:t>
            </w:r>
          </w:p>
        </w:tc>
        <w:tc>
          <w:tcPr>
            <w:tcW w:w="7305" w:type="dxa"/>
            <w:shd w:val="clear" w:color="auto" w:fill="auto"/>
            <w:tcMar>
              <w:top w:w="100" w:type="dxa"/>
              <w:left w:w="100" w:type="dxa"/>
              <w:bottom w:w="100" w:type="dxa"/>
              <w:right w:w="100" w:type="dxa"/>
            </w:tcMar>
          </w:tcPr>
          <w:p w14:paraId="1B6F38A1" w14:textId="77777777" w:rsidR="00C769D8" w:rsidRPr="001C0F4B" w:rsidRDefault="00591C3F">
            <w:pPr>
              <w:rPr>
                <w:color w:val="FF0000"/>
                <w:sz w:val="20"/>
                <w:szCs w:val="20"/>
              </w:rPr>
            </w:pPr>
            <w:r>
              <w:rPr>
                <w:sz w:val="20"/>
                <w:szCs w:val="20"/>
              </w:rPr>
              <w:t>Time savings for monitor preparation</w:t>
            </w:r>
            <w:r w:rsidR="001C0F4B">
              <w:rPr>
                <w:sz w:val="20"/>
                <w:szCs w:val="20"/>
              </w:rPr>
              <w:t xml:space="preserve"> </w:t>
            </w:r>
            <w:r w:rsidR="001C0F4B" w:rsidRPr="00540AED">
              <w:rPr>
                <w:sz w:val="20"/>
                <w:szCs w:val="20"/>
              </w:rPr>
              <w:t xml:space="preserve">and </w:t>
            </w:r>
            <w:r w:rsidR="00C55059" w:rsidRPr="00540AED">
              <w:rPr>
                <w:sz w:val="20"/>
                <w:szCs w:val="20"/>
              </w:rPr>
              <w:t>access</w:t>
            </w:r>
          </w:p>
          <w:p w14:paraId="14DC2F6A" w14:textId="77777777" w:rsidR="00F80872" w:rsidRPr="00F80872" w:rsidRDefault="00F80872">
            <w:pPr>
              <w:widowControl w:val="0"/>
              <w:spacing w:line="240" w:lineRule="auto"/>
              <w:rPr>
                <w:color w:val="999999"/>
                <w:sz w:val="16"/>
                <w:szCs w:val="16"/>
              </w:rPr>
            </w:pPr>
          </w:p>
          <w:p w14:paraId="5E13AE74" w14:textId="77777777" w:rsidR="00C769D8" w:rsidRPr="00163856" w:rsidRDefault="00591C3F">
            <w:pPr>
              <w:widowControl w:val="0"/>
              <w:spacing w:line="240" w:lineRule="auto"/>
              <w:rPr>
                <w:i/>
                <w:color w:val="999999"/>
                <w:sz w:val="18"/>
                <w:szCs w:val="18"/>
              </w:rPr>
            </w:pPr>
            <w:r w:rsidRPr="00163856">
              <w:rPr>
                <w:i/>
                <w:color w:val="999999"/>
                <w:sz w:val="18"/>
                <w:szCs w:val="18"/>
              </w:rPr>
              <w:t xml:space="preserve">Calculate the anticipated time / costs saved </w:t>
            </w:r>
            <w:r w:rsidR="004B75E9" w:rsidRPr="00163856">
              <w:rPr>
                <w:i/>
                <w:color w:val="999999"/>
                <w:sz w:val="18"/>
                <w:szCs w:val="18"/>
              </w:rPr>
              <w:t xml:space="preserve">by providing monitors with self-serve access before, during, or after a visit. </w:t>
            </w:r>
            <w:r w:rsidR="00055338" w:rsidRPr="00163856">
              <w:rPr>
                <w:i/>
                <w:color w:val="999999"/>
                <w:sz w:val="18"/>
                <w:szCs w:val="18"/>
              </w:rPr>
              <w:t xml:space="preserve">For example: Consider the time spent sending and resending documents to monitors, or the time spent sitting with monitors during a visit to review documents together. </w:t>
            </w:r>
          </w:p>
        </w:tc>
        <w:tc>
          <w:tcPr>
            <w:tcW w:w="2355" w:type="dxa"/>
            <w:shd w:val="clear" w:color="auto" w:fill="auto"/>
            <w:tcMar>
              <w:top w:w="100" w:type="dxa"/>
              <w:left w:w="100" w:type="dxa"/>
              <w:bottom w:w="100" w:type="dxa"/>
              <w:right w:w="100" w:type="dxa"/>
            </w:tcMar>
          </w:tcPr>
          <w:p w14:paraId="341873C7" w14:textId="77777777" w:rsidR="00C769D8" w:rsidRPr="00F80872" w:rsidRDefault="00591C3F">
            <w:pPr>
              <w:widowControl w:val="0"/>
              <w:pBdr>
                <w:top w:val="nil"/>
                <w:left w:val="nil"/>
                <w:bottom w:val="nil"/>
                <w:right w:val="nil"/>
                <w:between w:val="nil"/>
              </w:pBdr>
              <w:spacing w:line="240" w:lineRule="auto"/>
              <w:jc w:val="right"/>
              <w:rPr>
                <w:color w:val="A6A6A6" w:themeColor="background1" w:themeShade="A6"/>
                <w:sz w:val="20"/>
                <w:szCs w:val="20"/>
              </w:rPr>
            </w:pPr>
            <w:r w:rsidRPr="00F80872">
              <w:rPr>
                <w:color w:val="A6A6A6" w:themeColor="background1" w:themeShade="A6"/>
                <w:sz w:val="20"/>
                <w:szCs w:val="20"/>
              </w:rPr>
              <w:t>$</w:t>
            </w:r>
          </w:p>
        </w:tc>
      </w:tr>
      <w:tr w:rsidR="00C55059" w14:paraId="535C9C0A" w14:textId="77777777">
        <w:tc>
          <w:tcPr>
            <w:tcW w:w="1155" w:type="dxa"/>
            <w:shd w:val="clear" w:color="auto" w:fill="auto"/>
            <w:tcMar>
              <w:top w:w="100" w:type="dxa"/>
              <w:left w:w="100" w:type="dxa"/>
              <w:bottom w:w="100" w:type="dxa"/>
              <w:right w:w="100" w:type="dxa"/>
            </w:tcMar>
          </w:tcPr>
          <w:p w14:paraId="110B4754" w14:textId="77777777" w:rsidR="00C55059" w:rsidRDefault="00C55059">
            <w:pPr>
              <w:widowControl w:val="0"/>
              <w:spacing w:line="240" w:lineRule="auto"/>
              <w:rPr>
                <w:sz w:val="20"/>
                <w:szCs w:val="20"/>
              </w:rPr>
            </w:pPr>
            <w:r>
              <w:rPr>
                <w:sz w:val="20"/>
                <w:szCs w:val="20"/>
              </w:rPr>
              <w:t>Savings</w:t>
            </w:r>
          </w:p>
        </w:tc>
        <w:tc>
          <w:tcPr>
            <w:tcW w:w="7305" w:type="dxa"/>
            <w:shd w:val="clear" w:color="auto" w:fill="auto"/>
            <w:tcMar>
              <w:top w:w="100" w:type="dxa"/>
              <w:left w:w="100" w:type="dxa"/>
              <w:bottom w:w="100" w:type="dxa"/>
              <w:right w:w="100" w:type="dxa"/>
            </w:tcMar>
          </w:tcPr>
          <w:p w14:paraId="78BC125E" w14:textId="77777777" w:rsidR="00C55059" w:rsidRDefault="00055338">
            <w:pPr>
              <w:rPr>
                <w:sz w:val="20"/>
                <w:szCs w:val="20"/>
              </w:rPr>
            </w:pPr>
            <w:r>
              <w:rPr>
                <w:sz w:val="20"/>
                <w:szCs w:val="20"/>
              </w:rPr>
              <w:t>Time savings for</w:t>
            </w:r>
            <w:r w:rsidR="00C55059">
              <w:rPr>
                <w:sz w:val="20"/>
                <w:szCs w:val="20"/>
              </w:rPr>
              <w:t xml:space="preserve"> </w:t>
            </w:r>
            <w:r>
              <w:rPr>
                <w:sz w:val="20"/>
                <w:szCs w:val="20"/>
              </w:rPr>
              <w:t>reporting</w:t>
            </w:r>
          </w:p>
          <w:p w14:paraId="62198A78" w14:textId="77777777" w:rsidR="00F80872" w:rsidRPr="00F80872" w:rsidRDefault="00F80872">
            <w:pPr>
              <w:rPr>
                <w:color w:val="999999"/>
                <w:sz w:val="16"/>
                <w:szCs w:val="16"/>
              </w:rPr>
            </w:pPr>
          </w:p>
          <w:p w14:paraId="08E21435" w14:textId="77777777" w:rsidR="00055338" w:rsidRPr="00163856" w:rsidRDefault="00055338">
            <w:pPr>
              <w:rPr>
                <w:b/>
                <w:sz w:val="18"/>
                <w:szCs w:val="18"/>
              </w:rPr>
            </w:pPr>
            <w:r w:rsidRPr="00163856">
              <w:rPr>
                <w:i/>
                <w:color w:val="999999"/>
                <w:sz w:val="18"/>
                <w:szCs w:val="18"/>
              </w:rPr>
              <w:lastRenderedPageBreak/>
              <w:t>Calculate the anticipated time / costs saved by eliminating the need to build and manage reports showing upcoming expiring documents</w:t>
            </w:r>
            <w:r w:rsidR="00F80872" w:rsidRPr="00163856">
              <w:rPr>
                <w:i/>
                <w:color w:val="999999"/>
                <w:sz w:val="18"/>
                <w:szCs w:val="18"/>
              </w:rPr>
              <w:t xml:space="preserve"> and</w:t>
            </w:r>
            <w:r w:rsidRPr="00163856">
              <w:rPr>
                <w:i/>
                <w:color w:val="999999"/>
                <w:sz w:val="18"/>
                <w:szCs w:val="18"/>
              </w:rPr>
              <w:t xml:space="preserve"> signature turnaround times</w:t>
            </w:r>
            <w:r w:rsidR="00F80872" w:rsidRPr="00163856">
              <w:rPr>
                <w:color w:val="999999"/>
                <w:sz w:val="18"/>
                <w:szCs w:val="18"/>
              </w:rPr>
              <w:t xml:space="preserve">. </w:t>
            </w:r>
          </w:p>
        </w:tc>
        <w:tc>
          <w:tcPr>
            <w:tcW w:w="2355" w:type="dxa"/>
            <w:shd w:val="clear" w:color="auto" w:fill="auto"/>
            <w:tcMar>
              <w:top w:w="100" w:type="dxa"/>
              <w:left w:w="100" w:type="dxa"/>
              <w:bottom w:w="100" w:type="dxa"/>
              <w:right w:w="100" w:type="dxa"/>
            </w:tcMar>
          </w:tcPr>
          <w:p w14:paraId="642DFD55" w14:textId="77777777" w:rsidR="00C55059" w:rsidRPr="00F80872" w:rsidRDefault="00C55059">
            <w:pPr>
              <w:widowControl w:val="0"/>
              <w:pBdr>
                <w:top w:val="nil"/>
                <w:left w:val="nil"/>
                <w:bottom w:val="nil"/>
                <w:right w:val="nil"/>
                <w:between w:val="nil"/>
              </w:pBdr>
              <w:spacing w:line="240" w:lineRule="auto"/>
              <w:jc w:val="right"/>
              <w:rPr>
                <w:color w:val="A6A6A6" w:themeColor="background1" w:themeShade="A6"/>
                <w:sz w:val="20"/>
                <w:szCs w:val="20"/>
              </w:rPr>
            </w:pPr>
          </w:p>
        </w:tc>
      </w:tr>
      <w:tr w:rsidR="00C769D8" w14:paraId="7E19E6D6" w14:textId="77777777">
        <w:trPr>
          <w:trHeight w:val="420"/>
        </w:trPr>
        <w:tc>
          <w:tcPr>
            <w:tcW w:w="8460" w:type="dxa"/>
            <w:gridSpan w:val="2"/>
            <w:shd w:val="clear" w:color="auto" w:fill="F3F3F3"/>
            <w:tcMar>
              <w:top w:w="100" w:type="dxa"/>
              <w:left w:w="100" w:type="dxa"/>
              <w:bottom w:w="100" w:type="dxa"/>
              <w:right w:w="100" w:type="dxa"/>
            </w:tcMar>
          </w:tcPr>
          <w:p w14:paraId="22DB16A2" w14:textId="77777777" w:rsidR="00C769D8" w:rsidRDefault="00591C3F">
            <w:pPr>
              <w:jc w:val="right"/>
              <w:rPr>
                <w:b/>
                <w:sz w:val="20"/>
                <w:szCs w:val="20"/>
              </w:rPr>
            </w:pPr>
            <w:r>
              <w:rPr>
                <w:b/>
                <w:sz w:val="20"/>
                <w:szCs w:val="20"/>
              </w:rPr>
              <w:t>Net First Year Anticipated Savings</w:t>
            </w:r>
          </w:p>
        </w:tc>
        <w:tc>
          <w:tcPr>
            <w:tcW w:w="2355" w:type="dxa"/>
            <w:shd w:val="clear" w:color="auto" w:fill="F3F3F3"/>
            <w:tcMar>
              <w:top w:w="100" w:type="dxa"/>
              <w:left w:w="100" w:type="dxa"/>
              <w:bottom w:w="100" w:type="dxa"/>
              <w:right w:w="100" w:type="dxa"/>
            </w:tcMar>
          </w:tcPr>
          <w:p w14:paraId="4A000703" w14:textId="77777777" w:rsidR="00C769D8" w:rsidRDefault="00591C3F">
            <w:pPr>
              <w:widowControl w:val="0"/>
              <w:pBdr>
                <w:top w:val="nil"/>
                <w:left w:val="nil"/>
                <w:bottom w:val="nil"/>
                <w:right w:val="nil"/>
                <w:between w:val="nil"/>
              </w:pBdr>
              <w:spacing w:line="240" w:lineRule="auto"/>
              <w:jc w:val="right"/>
              <w:rPr>
                <w:b/>
                <w:sz w:val="20"/>
                <w:szCs w:val="20"/>
              </w:rPr>
            </w:pPr>
            <w:r>
              <w:rPr>
                <w:b/>
                <w:sz w:val="20"/>
                <w:szCs w:val="20"/>
              </w:rPr>
              <w:t>$</w:t>
            </w:r>
          </w:p>
        </w:tc>
      </w:tr>
    </w:tbl>
    <w:p w14:paraId="42B99D66" w14:textId="77777777" w:rsidR="00C769D8" w:rsidRDefault="00C769D8"/>
    <w:p w14:paraId="65D81D0E" w14:textId="43A3DE9F" w:rsidR="000F3816" w:rsidRPr="00124D86" w:rsidRDefault="00591C3F">
      <w:r>
        <w:t>Based on the cost benefit analysis above we see that by authorizing the use of Veeva SiteVault, {</w:t>
      </w:r>
      <w:r>
        <w:rPr>
          <w:color w:val="999999"/>
        </w:rPr>
        <w:t>organization name</w:t>
      </w:r>
      <w:r>
        <w:t>} will save $</w:t>
      </w:r>
      <w:proofErr w:type="gramStart"/>
      <w:r>
        <w:rPr>
          <w:color w:val="B7B7B7"/>
        </w:rPr>
        <w:t>XX,XXX</w:t>
      </w:r>
      <w:proofErr w:type="gramEnd"/>
      <w:r>
        <w:t xml:space="preserve"> in the first year alone. This represents a significant improvement in our operating costs and is a clear indicator of the benefits the system will have on the company.</w:t>
      </w:r>
    </w:p>
    <w:p w14:paraId="2EDF9B79" w14:textId="77777777" w:rsidR="000F3816" w:rsidRDefault="000F3816">
      <w:pPr>
        <w:rPr>
          <w:color w:val="FF9900"/>
          <w:sz w:val="26"/>
          <w:szCs w:val="26"/>
        </w:rPr>
      </w:pPr>
    </w:p>
    <w:p w14:paraId="535C2E53" w14:textId="77777777" w:rsidR="000F3816" w:rsidRDefault="000F3816">
      <w:pPr>
        <w:rPr>
          <w:color w:val="FF9900"/>
          <w:sz w:val="26"/>
          <w:szCs w:val="26"/>
        </w:rPr>
      </w:pPr>
    </w:p>
    <w:p w14:paraId="1269F6EE" w14:textId="77777777" w:rsidR="00C769D8" w:rsidRDefault="00591C3F">
      <w:pPr>
        <w:rPr>
          <w:color w:val="FF9900"/>
          <w:sz w:val="26"/>
          <w:szCs w:val="26"/>
        </w:rPr>
      </w:pPr>
      <w:r>
        <w:rPr>
          <w:color w:val="FF9900"/>
          <w:sz w:val="26"/>
          <w:szCs w:val="26"/>
        </w:rPr>
        <w:t>Additional Resources</w:t>
      </w:r>
    </w:p>
    <w:p w14:paraId="0632B499" w14:textId="77777777" w:rsidR="00C769D8" w:rsidRDefault="00C769D8"/>
    <w:p w14:paraId="62470488" w14:textId="1F21CA3C" w:rsidR="00C769D8" w:rsidRDefault="00591C3F">
      <w:pPr>
        <w:numPr>
          <w:ilvl w:val="0"/>
          <w:numId w:val="7"/>
        </w:numPr>
      </w:pPr>
      <w:r>
        <w:t xml:space="preserve">Learn more about Veeva SiteVault or to sign up for SiteVault: </w:t>
      </w:r>
      <w:hyperlink r:id="rId8">
        <w:r>
          <w:rPr>
            <w:color w:val="1155CC"/>
            <w:u w:val="single"/>
          </w:rPr>
          <w:t>Visit websit</w:t>
        </w:r>
        <w:r w:rsidR="00EB637D">
          <w:rPr>
            <w:color w:val="1155CC"/>
            <w:u w:val="single"/>
          </w:rPr>
          <w:t>e</w:t>
        </w:r>
        <w:r w:rsidR="00124D86">
          <w:rPr>
            <w:color w:val="1155CC"/>
            <w:u w:val="single"/>
          </w:rPr>
          <w:t xml:space="preserve"> &gt;</w:t>
        </w:r>
      </w:hyperlink>
      <w:r>
        <w:t xml:space="preserve"> </w:t>
      </w:r>
    </w:p>
    <w:p w14:paraId="5985C306" w14:textId="77777777" w:rsidR="00C769D8" w:rsidRDefault="00591C3F">
      <w:pPr>
        <w:numPr>
          <w:ilvl w:val="0"/>
          <w:numId w:val="7"/>
        </w:numPr>
      </w:pPr>
      <w:r>
        <w:t xml:space="preserve">Watch this on-demand webinar to see a demonstration: </w:t>
      </w:r>
      <w:hyperlink r:id="rId9">
        <w:r>
          <w:rPr>
            <w:color w:val="1155CC"/>
            <w:u w:val="single"/>
          </w:rPr>
          <w:t>Watch vide</w:t>
        </w:r>
        <w:r w:rsidR="00124D86">
          <w:rPr>
            <w:color w:val="1155CC"/>
            <w:u w:val="single"/>
          </w:rPr>
          <w:t xml:space="preserve">o &gt; </w:t>
        </w:r>
      </w:hyperlink>
    </w:p>
    <w:p w14:paraId="7B97B36A" w14:textId="77777777" w:rsidR="00C769D8" w:rsidRDefault="00591C3F">
      <w:pPr>
        <w:numPr>
          <w:ilvl w:val="0"/>
          <w:numId w:val="7"/>
        </w:numPr>
      </w:pPr>
      <w:r>
        <w:t xml:space="preserve">Download an overview of Veeva SiteVault: </w:t>
      </w:r>
      <w:hyperlink r:id="rId10">
        <w:r>
          <w:rPr>
            <w:color w:val="1155CC"/>
            <w:u w:val="single"/>
          </w:rPr>
          <w:t>Downloa</w:t>
        </w:r>
        <w:r w:rsidR="00124D86">
          <w:rPr>
            <w:color w:val="1155CC"/>
            <w:u w:val="single"/>
          </w:rPr>
          <w:t>d &gt;</w:t>
        </w:r>
      </w:hyperlink>
      <w:r>
        <w:t xml:space="preserve"> </w:t>
      </w:r>
    </w:p>
    <w:p w14:paraId="05CADB7A" w14:textId="77777777" w:rsidR="00C769D8" w:rsidRDefault="00C769D8"/>
    <w:p w14:paraId="5252956F" w14:textId="77777777" w:rsidR="00124D86" w:rsidRDefault="00124D86"/>
    <w:p w14:paraId="453BB36B" w14:textId="77777777" w:rsidR="00C769D8" w:rsidRDefault="00D917A7">
      <w:r>
        <w:rPr>
          <w:noProof/>
        </w:rPr>
        <w:pict w14:anchorId="3C97E2A2">
          <v:rect id="_x0000_i1025" alt="" style="width:540pt;height:.05pt;mso-width-percent:0;mso-height-percent:0;mso-width-percent:0;mso-height-percent:0" o:hralign="center" o:hrstd="t" o:hr="t" fillcolor="#a0a0a0" stroked="f"/>
        </w:pict>
      </w:r>
    </w:p>
    <w:p w14:paraId="1E5EDF86" w14:textId="77777777" w:rsidR="00124D86" w:rsidRDefault="00124D86">
      <w:pPr>
        <w:spacing w:before="240" w:after="140"/>
        <w:rPr>
          <w:b/>
          <w:sz w:val="21"/>
          <w:szCs w:val="21"/>
        </w:rPr>
      </w:pPr>
    </w:p>
    <w:p w14:paraId="38B1CE61" w14:textId="77777777" w:rsidR="00C769D8" w:rsidRDefault="00591C3F">
      <w:pPr>
        <w:spacing w:before="240" w:after="140"/>
        <w:rPr>
          <w:b/>
          <w:sz w:val="21"/>
          <w:szCs w:val="21"/>
        </w:rPr>
      </w:pPr>
      <w:r>
        <w:rPr>
          <w:b/>
          <w:sz w:val="21"/>
          <w:szCs w:val="21"/>
        </w:rPr>
        <w:t>About Veeva Systems</w:t>
      </w:r>
    </w:p>
    <w:p w14:paraId="6000BEE3" w14:textId="77777777" w:rsidR="004A3750" w:rsidRPr="004A3750" w:rsidRDefault="004A3750" w:rsidP="004A3750">
      <w:r w:rsidRPr="004A3750">
        <w:t xml:space="preserve">Veeva is the global leader in cloud software for the life sciences industry. Committed to innovation, product excellence, and customer success, Veeva serves more than 1,000 customers, ranging from the world’s largest pharmaceutical companies to emerging </w:t>
      </w:r>
      <w:proofErr w:type="spellStart"/>
      <w:r w:rsidRPr="004A3750">
        <w:t>biotechs</w:t>
      </w:r>
      <w:proofErr w:type="spellEnd"/>
      <w:r w:rsidRPr="004A3750">
        <w:t>. As a Public Benefit Corporation, Veeva is committed to balancing the interests of all stakeholders, including customers, employees, shareholders, and the industries it serves. For more information, visit veeva.com.</w:t>
      </w:r>
    </w:p>
    <w:p w14:paraId="7D156093" w14:textId="77777777" w:rsidR="00C769D8" w:rsidRDefault="00C769D8"/>
    <w:p w14:paraId="3826EC1A" w14:textId="77777777" w:rsidR="00C769D8" w:rsidRDefault="00591C3F">
      <w:pPr>
        <w:rPr>
          <w:b/>
        </w:rPr>
      </w:pPr>
      <w:r>
        <w:rPr>
          <w:b/>
        </w:rPr>
        <w:t>Veeva Systems</w:t>
      </w:r>
    </w:p>
    <w:p w14:paraId="483C6F4C" w14:textId="77777777" w:rsidR="00C769D8" w:rsidRDefault="00591C3F">
      <w:r>
        <w:t>Global Headquarters</w:t>
      </w:r>
    </w:p>
    <w:p w14:paraId="518685E2" w14:textId="77777777" w:rsidR="00C769D8" w:rsidRDefault="00591C3F">
      <w:r>
        <w:t>Pleasanton, California, USA</w:t>
      </w:r>
    </w:p>
    <w:p w14:paraId="30CB0FAF" w14:textId="77777777" w:rsidR="00C769D8" w:rsidRDefault="00591C3F">
      <w:r>
        <w:t>4280 Hacienda Drive</w:t>
      </w:r>
    </w:p>
    <w:p w14:paraId="79258B95" w14:textId="77777777" w:rsidR="00C769D8" w:rsidRDefault="00591C3F">
      <w:pPr>
        <w:rPr>
          <w:sz w:val="21"/>
          <w:szCs w:val="21"/>
        </w:rPr>
      </w:pPr>
      <w:r>
        <w:t>Pleasanton, California 94588</w:t>
      </w:r>
    </w:p>
    <w:p w14:paraId="3068B942" w14:textId="77777777" w:rsidR="00C769D8" w:rsidRDefault="00C769D8"/>
    <w:sectPr w:rsidR="00C769D8" w:rsidSect="004A3750">
      <w:headerReference w:type="even" r:id="rId11"/>
      <w:headerReference w:type="default" r:id="rId12"/>
      <w:footerReference w:type="even" r:id="rId13"/>
      <w:footerReference w:type="default" r:id="rId14"/>
      <w:headerReference w:type="first" r:id="rId15"/>
      <w:footerReference w:type="first" r:id="rId16"/>
      <w:pgSz w:w="12240" w:h="15840"/>
      <w:pgMar w:top="1080" w:right="720" w:bottom="108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B3DA" w14:textId="77777777" w:rsidR="00D917A7" w:rsidRDefault="00D917A7">
      <w:pPr>
        <w:spacing w:line="240" w:lineRule="auto"/>
      </w:pPr>
      <w:r>
        <w:separator/>
      </w:r>
    </w:p>
  </w:endnote>
  <w:endnote w:type="continuationSeparator" w:id="0">
    <w:p w14:paraId="647B04ED" w14:textId="77777777" w:rsidR="00D917A7" w:rsidRDefault="00D917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B583" w14:textId="77777777" w:rsidR="000F3816" w:rsidRDefault="000F3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8CA5" w14:textId="77777777" w:rsidR="000F3816" w:rsidRDefault="000F38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93CD" w14:textId="77777777" w:rsidR="00C769D8" w:rsidRDefault="00C769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9A82" w14:textId="77777777" w:rsidR="00D917A7" w:rsidRDefault="00D917A7">
      <w:pPr>
        <w:spacing w:line="240" w:lineRule="auto"/>
      </w:pPr>
      <w:r>
        <w:separator/>
      </w:r>
    </w:p>
  </w:footnote>
  <w:footnote w:type="continuationSeparator" w:id="0">
    <w:p w14:paraId="59DBDF38" w14:textId="77777777" w:rsidR="00D917A7" w:rsidRDefault="00D917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1671" w14:textId="77777777" w:rsidR="000F3816" w:rsidRDefault="000F3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47D7" w14:textId="77777777" w:rsidR="00C769D8" w:rsidRDefault="00C769D8"/>
  <w:p w14:paraId="6051E4BC" w14:textId="77777777" w:rsidR="00C769D8" w:rsidRDefault="00C769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2BD0" w14:textId="77777777" w:rsidR="00C769D8" w:rsidRDefault="00C769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274"/>
    <w:multiLevelType w:val="multilevel"/>
    <w:tmpl w:val="B41C0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E81635"/>
    <w:multiLevelType w:val="multilevel"/>
    <w:tmpl w:val="54000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5774CE"/>
    <w:multiLevelType w:val="multilevel"/>
    <w:tmpl w:val="A9129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2814F9"/>
    <w:multiLevelType w:val="multilevel"/>
    <w:tmpl w:val="74008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89274E"/>
    <w:multiLevelType w:val="multilevel"/>
    <w:tmpl w:val="08D66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CB23F7"/>
    <w:multiLevelType w:val="multilevel"/>
    <w:tmpl w:val="CB6C7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452DFB"/>
    <w:multiLevelType w:val="multilevel"/>
    <w:tmpl w:val="85DAA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551960"/>
    <w:multiLevelType w:val="multilevel"/>
    <w:tmpl w:val="77F2E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9D8"/>
    <w:rsid w:val="00002F5E"/>
    <w:rsid w:val="000061FD"/>
    <w:rsid w:val="00055338"/>
    <w:rsid w:val="000F3816"/>
    <w:rsid w:val="00124D86"/>
    <w:rsid w:val="00163856"/>
    <w:rsid w:val="001C0F4B"/>
    <w:rsid w:val="002354DC"/>
    <w:rsid w:val="002E605B"/>
    <w:rsid w:val="004A3750"/>
    <w:rsid w:val="004B75E9"/>
    <w:rsid w:val="00540AED"/>
    <w:rsid w:val="00591C3F"/>
    <w:rsid w:val="005E22ED"/>
    <w:rsid w:val="00621056"/>
    <w:rsid w:val="00735400"/>
    <w:rsid w:val="008031B2"/>
    <w:rsid w:val="00A33555"/>
    <w:rsid w:val="00AD1576"/>
    <w:rsid w:val="00C55059"/>
    <w:rsid w:val="00C769D8"/>
    <w:rsid w:val="00C80604"/>
    <w:rsid w:val="00D917A7"/>
    <w:rsid w:val="00EB637D"/>
    <w:rsid w:val="00F8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8293D"/>
  <w15:docId w15:val="{061B2CFD-068C-1640-9C6A-B1A79E76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0F3816"/>
    <w:pPr>
      <w:keepNext/>
      <w:keepLines/>
      <w:outlineLvl w:val="0"/>
    </w:pPr>
    <w:rPr>
      <w:color w:val="FF9900"/>
      <w:sz w:val="28"/>
      <w:szCs w:val="2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sz w:val="36"/>
      <w:szCs w:val="36"/>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F3816"/>
    <w:pPr>
      <w:tabs>
        <w:tab w:val="center" w:pos="4680"/>
        <w:tab w:val="right" w:pos="9360"/>
      </w:tabs>
      <w:spacing w:line="240" w:lineRule="auto"/>
    </w:pPr>
  </w:style>
  <w:style w:type="character" w:customStyle="1" w:styleId="HeaderChar">
    <w:name w:val="Header Char"/>
    <w:basedOn w:val="DefaultParagraphFont"/>
    <w:link w:val="Header"/>
    <w:uiPriority w:val="99"/>
    <w:rsid w:val="000F3816"/>
  </w:style>
  <w:style w:type="paragraph" w:styleId="Footer">
    <w:name w:val="footer"/>
    <w:basedOn w:val="Normal"/>
    <w:link w:val="FooterChar"/>
    <w:uiPriority w:val="99"/>
    <w:unhideWhenUsed/>
    <w:rsid w:val="000F3816"/>
    <w:pPr>
      <w:tabs>
        <w:tab w:val="center" w:pos="4680"/>
        <w:tab w:val="right" w:pos="9360"/>
      </w:tabs>
      <w:spacing w:line="240" w:lineRule="auto"/>
    </w:pPr>
  </w:style>
  <w:style w:type="character" w:customStyle="1" w:styleId="FooterChar">
    <w:name w:val="Footer Char"/>
    <w:basedOn w:val="DefaultParagraphFont"/>
    <w:link w:val="Footer"/>
    <w:uiPriority w:val="99"/>
    <w:rsid w:val="000F3816"/>
  </w:style>
  <w:style w:type="character" w:styleId="Hyperlink">
    <w:name w:val="Hyperlink"/>
    <w:basedOn w:val="DefaultParagraphFont"/>
    <w:uiPriority w:val="99"/>
    <w:unhideWhenUsed/>
    <w:rsid w:val="004A3750"/>
    <w:rPr>
      <w:color w:val="0000FF" w:themeColor="hyperlink"/>
      <w:u w:val="single"/>
    </w:rPr>
  </w:style>
  <w:style w:type="character" w:styleId="UnresolvedMention">
    <w:name w:val="Unresolved Mention"/>
    <w:basedOn w:val="DefaultParagraphFont"/>
    <w:uiPriority w:val="99"/>
    <w:semiHidden/>
    <w:unhideWhenUsed/>
    <w:rsid w:val="004A3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veev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veevavault.help/g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veeva.com/resources/veeva-sitevault-product-brief/" TargetMode="External"/><Relationship Id="rId4" Type="http://schemas.openxmlformats.org/officeDocument/2006/relationships/webSettings" Target="webSettings.xml"/><Relationship Id="rId9" Type="http://schemas.openxmlformats.org/officeDocument/2006/relationships/hyperlink" Target="https://go.veeva.com/SiteVault_Free_eRegulatory_Dem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Hosta</dc:creator>
  <cp:lastModifiedBy>Abbie Hosta</cp:lastModifiedBy>
  <cp:revision>2</cp:revision>
  <dcterms:created xsi:type="dcterms:W3CDTF">2022-05-17T20:10:00Z</dcterms:created>
  <dcterms:modified xsi:type="dcterms:W3CDTF">2022-05-17T20:10:00Z</dcterms:modified>
</cp:coreProperties>
</file>